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0CC99">
      <w:pPr>
        <w:spacing w:line="360" w:lineRule="auto"/>
        <w:jc w:val="center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2025年度中国奥莱颁奖盛典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br w:type="textWrapping"/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奖项参选及评选办法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br w:type="textWrapping"/>
      </w:r>
    </w:p>
    <w:p w14:paraId="3485CF44">
      <w:pPr>
        <w:spacing w:line="360" w:lineRule="auto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中国奥莱颁奖盛典是国内最大型的奥莱行业评选活动。中国奥莱颁奖盛典旨在对每年国内奥莱业态表现优异的项目、企业、品牌、营销案例、模式创新等领域的杰出表现着给予表彰。自2012年以来，至今已成功举办12届中国奥莱颁奖盛典。</w:t>
      </w:r>
    </w:p>
    <w:p w14:paraId="0C6D3AB3">
      <w:pPr>
        <w:spacing w:line="360" w:lineRule="auto"/>
        <w:ind w:firstLine="422" w:firstLineChars="200"/>
        <w:rPr>
          <w:rFonts w:hint="eastAsia" w:asciiTheme="minorEastAsia" w:hAnsiTheme="minorEastAsia" w:eastAsiaTheme="minorEastAsia"/>
          <w:b/>
          <w:bCs/>
          <w:szCs w:val="21"/>
        </w:rPr>
      </w:pPr>
      <w:r>
        <w:rPr>
          <w:rFonts w:hint="eastAsia" w:asciiTheme="minorEastAsia" w:hAnsiTheme="minorEastAsia" w:eastAsiaTheme="minorEastAsia"/>
          <w:b/>
          <w:bCs/>
          <w:szCs w:val="21"/>
        </w:rPr>
        <w:t>2026年6月17日，由中国奥莱会与新华报业传媒集团扬子晚报联合主办，奥莱领秀（广州）传媒科技有限公司承办的第13届奥莱领秀峰会将于中国·杭州隆重举办。有关2025年度中国奥莱颁奖盛典的奖项参评正进入收尾阶段，奖项申报提交截止时间：2026年5月2</w:t>
      </w:r>
      <w:r>
        <w:rPr>
          <w:rFonts w:hint="eastAsia" w:asciiTheme="minorEastAsia" w:hAnsiTheme="minorEastAsia" w:eastAsiaTheme="minorEastAsia"/>
          <w:b/>
          <w:bCs/>
          <w:szCs w:val="21"/>
          <w:lang w:val="en-US" w:eastAsia="zh-CN"/>
        </w:rPr>
        <w:t>4</w:t>
      </w:r>
      <w:r>
        <w:rPr>
          <w:rFonts w:hint="eastAsia" w:asciiTheme="minorEastAsia" w:hAnsiTheme="minorEastAsia" w:eastAsiaTheme="minorEastAsia"/>
          <w:b/>
          <w:bCs/>
          <w:szCs w:val="21"/>
        </w:rPr>
        <w:t>日前。</w:t>
      </w:r>
    </w:p>
    <w:p w14:paraId="55719415">
      <w:pPr>
        <w:spacing w:line="360" w:lineRule="auto"/>
        <w:rPr>
          <w:rFonts w:asciiTheme="minorEastAsia" w:hAnsiTheme="minorEastAsia" w:eastAsiaTheme="minorEastAsia"/>
          <w:szCs w:val="21"/>
        </w:rPr>
      </w:pPr>
    </w:p>
    <w:p w14:paraId="014AC62B">
      <w:pPr>
        <w:spacing w:line="360" w:lineRule="auto"/>
        <w:rPr>
          <w:rFonts w:ascii="微软雅黑" w:hAnsi="微软雅黑" w:eastAsia="微软雅黑"/>
          <w:szCs w:val="21"/>
          <w:u w:val="single"/>
        </w:rPr>
      </w:pPr>
      <w:r>
        <w:rPr>
          <w:rFonts w:hint="eastAsia" w:ascii="微软雅黑" w:hAnsi="微软雅黑" w:eastAsia="微软雅黑"/>
          <w:szCs w:val="21"/>
        </w:rPr>
        <w:t>企业名称：</w:t>
      </w:r>
      <w:r>
        <w:rPr>
          <w:rFonts w:hint="eastAsia" w:ascii="微软雅黑" w:hAnsi="微软雅黑" w:eastAsia="微软雅黑"/>
          <w:szCs w:val="21"/>
          <w:u w:val="single"/>
        </w:rPr>
        <w:t xml:space="preserve"> </w:t>
      </w:r>
      <w:r>
        <w:rPr>
          <w:rFonts w:ascii="微软雅黑" w:hAnsi="微软雅黑" w:eastAsia="微软雅黑"/>
          <w:szCs w:val="21"/>
          <w:u w:val="single"/>
        </w:rPr>
        <w:t xml:space="preserve">                          </w:t>
      </w:r>
    </w:p>
    <w:p w14:paraId="2CA11F9D">
      <w:pPr>
        <w:spacing w:line="360" w:lineRule="auto"/>
        <w:rPr>
          <w:rFonts w:ascii="微软雅黑" w:hAnsi="微软雅黑" w:eastAsia="微软雅黑"/>
          <w:szCs w:val="21"/>
          <w:u w:val="single"/>
        </w:rPr>
      </w:pPr>
      <w:r>
        <w:rPr>
          <w:rFonts w:hint="eastAsia" w:ascii="微软雅黑" w:hAnsi="微软雅黑" w:eastAsia="微软雅黑"/>
          <w:szCs w:val="21"/>
        </w:rPr>
        <w:t>奖项参评指定联系人：</w:t>
      </w:r>
      <w:r>
        <w:rPr>
          <w:rFonts w:hint="eastAsia" w:ascii="微软雅黑" w:hAnsi="微软雅黑" w:eastAsia="微软雅黑"/>
          <w:szCs w:val="21"/>
          <w:u w:val="single"/>
        </w:rPr>
        <w:t xml:space="preserve"> </w:t>
      </w:r>
      <w:r>
        <w:rPr>
          <w:rFonts w:ascii="微软雅黑" w:hAnsi="微软雅黑" w:eastAsia="微软雅黑"/>
          <w:szCs w:val="21"/>
          <w:u w:val="single"/>
        </w:rPr>
        <w:t xml:space="preserve">                                 </w:t>
      </w:r>
      <w:r>
        <w:rPr>
          <w:rFonts w:hint="eastAsia" w:ascii="微软雅黑" w:hAnsi="微软雅黑" w:eastAsia="微软雅黑"/>
          <w:szCs w:val="21"/>
        </w:rPr>
        <w:t>联系方式：</w:t>
      </w:r>
      <w:r>
        <w:rPr>
          <w:rFonts w:hint="eastAsia" w:ascii="微软雅黑" w:hAnsi="微软雅黑" w:eastAsia="微软雅黑"/>
          <w:szCs w:val="21"/>
          <w:u w:val="single"/>
        </w:rPr>
        <w:t xml:space="preserve"> </w:t>
      </w:r>
      <w:r>
        <w:rPr>
          <w:rFonts w:ascii="微软雅黑" w:hAnsi="微软雅黑" w:eastAsia="微软雅黑"/>
          <w:szCs w:val="21"/>
          <w:u w:val="single"/>
        </w:rPr>
        <w:t xml:space="preserve">                          </w:t>
      </w:r>
    </w:p>
    <w:p w14:paraId="3C468228">
      <w:pPr>
        <w:spacing w:line="360" w:lineRule="auto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参评奖项：(请在参选奖项选择上打“✓”可多选，提交资料需</w:t>
      </w:r>
      <w:bookmarkStart w:id="0" w:name="_GoBack"/>
      <w:bookmarkEnd w:id="0"/>
      <w:r>
        <w:rPr>
          <w:rFonts w:hint="eastAsia" w:ascii="微软雅黑" w:hAnsi="微软雅黑" w:eastAsia="微软雅黑"/>
          <w:szCs w:val="21"/>
        </w:rPr>
        <w:t>对应各参评奖项进行独立提报</w:t>
      </w:r>
    </w:p>
    <w:p w14:paraId="77FC1FBE">
      <w:pPr>
        <w:spacing w:line="360" w:lineRule="auto"/>
        <w:rPr>
          <w:rFonts w:ascii="微软雅黑" w:hAnsi="微软雅黑" w:eastAsia="微软雅黑"/>
          <w:szCs w:val="21"/>
        </w:rPr>
      </w:pPr>
    </w:p>
    <w:p w14:paraId="6B0B1F22">
      <w:pPr>
        <w:spacing w:line="360" w:lineRule="auto"/>
        <w:jc w:val="center"/>
        <w:rPr>
          <w:rFonts w:hint="eastAsia"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bCs/>
          <w:color w:val="002060"/>
          <w:spacing w:val="8"/>
          <w:szCs w:val="21"/>
        </w:rPr>
        <w:t>2025年度</w:t>
      </w:r>
      <w:r>
        <w:rPr>
          <w:rFonts w:hint="eastAsia" w:ascii="微软雅黑" w:hAnsi="微软雅黑" w:eastAsia="微软雅黑"/>
          <w:b/>
          <w:bCs/>
          <w:color w:val="002060"/>
          <w:spacing w:val="8"/>
          <w:szCs w:val="21"/>
          <w:lang w:val="en-US" w:eastAsia="zh-CN"/>
        </w:rPr>
        <w:t>中国奥莱颁奖盛典</w:t>
      </w:r>
      <w:r>
        <w:rPr>
          <w:rFonts w:hint="eastAsia" w:ascii="微软雅黑" w:hAnsi="微软雅黑" w:eastAsia="微软雅黑"/>
          <w:b/>
          <w:bCs/>
          <w:color w:val="002060"/>
          <w:spacing w:val="8"/>
          <w:szCs w:val="21"/>
        </w:rPr>
        <w:t>奖项参评报名表</w:t>
      </w:r>
    </w:p>
    <w:tbl>
      <w:tblPr>
        <w:tblStyle w:val="15"/>
        <w:tblW w:w="0" w:type="auto"/>
        <w:tblInd w:w="10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3692"/>
        <w:gridCol w:w="3213"/>
      </w:tblGrid>
      <w:tr w14:paraId="2CBF8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0A3D62"/>
          </w:tcPr>
          <w:p w14:paraId="0A594673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bCs/>
                <w:color w:val="000000" w:themeColor="text1"/>
                <w:spacing w:val="8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F2F2F2" w:themeColor="background1" w:themeShade="F2"/>
                <w:spacing w:val="8"/>
                <w:sz w:val="15"/>
                <w:szCs w:val="15"/>
              </w:rPr>
              <w:t>编号</w:t>
            </w:r>
          </w:p>
        </w:tc>
        <w:tc>
          <w:tcPr>
            <w:tcW w:w="3692" w:type="dxa"/>
            <w:shd w:val="clear" w:color="auto" w:fill="0A3D62"/>
          </w:tcPr>
          <w:p w14:paraId="1DF05E4E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bCs/>
                <w:color w:val="000000" w:themeColor="text1"/>
                <w:spacing w:val="8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F2F2F2" w:themeColor="background1" w:themeShade="F2"/>
                <w:spacing w:val="8"/>
                <w:sz w:val="15"/>
                <w:szCs w:val="15"/>
              </w:rPr>
              <w:t>奖项（项目类）</w:t>
            </w:r>
          </w:p>
        </w:tc>
        <w:tc>
          <w:tcPr>
            <w:tcW w:w="3213" w:type="dxa"/>
            <w:shd w:val="clear" w:color="auto" w:fill="0A3D62"/>
          </w:tcPr>
          <w:p w14:paraId="295E967A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bCs/>
                <w:color w:val="000000" w:themeColor="text1"/>
                <w:spacing w:val="8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F2F2F2" w:themeColor="background1" w:themeShade="F2"/>
                <w:spacing w:val="8"/>
                <w:sz w:val="15"/>
                <w:szCs w:val="15"/>
              </w:rPr>
              <w:t>选择</w:t>
            </w:r>
          </w:p>
        </w:tc>
      </w:tr>
      <w:tr w14:paraId="5DF87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58" w:type="dxa"/>
          </w:tcPr>
          <w:p w14:paraId="4B7938B5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bCs/>
                <w:color w:val="002060"/>
                <w:spacing w:val="8"/>
                <w:sz w:val="15"/>
                <w:szCs w:val="15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2060"/>
                <w:spacing w:val="8"/>
                <w:sz w:val="15"/>
                <w:szCs w:val="15"/>
              </w:rPr>
              <w:t>A1</w:t>
            </w:r>
          </w:p>
        </w:tc>
        <w:tc>
          <w:tcPr>
            <w:tcW w:w="3692" w:type="dxa"/>
          </w:tcPr>
          <w:p w14:paraId="04815EEF">
            <w:pPr>
              <w:spacing w:line="360" w:lineRule="auto"/>
              <w:jc w:val="left"/>
              <w:rPr>
                <w:rFonts w:ascii="微软雅黑" w:hAnsi="微软雅黑" w:eastAsia="微软雅黑"/>
                <w:b/>
                <w:bCs/>
                <w:color w:val="002060"/>
                <w:spacing w:val="8"/>
                <w:sz w:val="15"/>
                <w:szCs w:val="15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2060"/>
                <w:spacing w:val="8"/>
                <w:sz w:val="15"/>
                <w:szCs w:val="15"/>
              </w:rPr>
              <w:t>2025年度中国奥莱TOP 50标杆项目</w:t>
            </w:r>
          </w:p>
        </w:tc>
        <w:tc>
          <w:tcPr>
            <w:tcW w:w="3213" w:type="dxa"/>
          </w:tcPr>
          <w:p w14:paraId="7223AEDE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bCs/>
                <w:color w:val="002060"/>
                <w:spacing w:val="8"/>
                <w:sz w:val="15"/>
                <w:szCs w:val="15"/>
              </w:rPr>
            </w:pPr>
          </w:p>
        </w:tc>
      </w:tr>
      <w:tr w14:paraId="4A716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</w:tcPr>
          <w:p w14:paraId="1FCA57BD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bCs/>
                <w:color w:val="002060"/>
                <w:spacing w:val="8"/>
                <w:sz w:val="15"/>
                <w:szCs w:val="15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2060"/>
                <w:spacing w:val="8"/>
                <w:sz w:val="15"/>
                <w:szCs w:val="15"/>
              </w:rPr>
              <w:t>A2</w:t>
            </w:r>
          </w:p>
        </w:tc>
        <w:tc>
          <w:tcPr>
            <w:tcW w:w="3692" w:type="dxa"/>
          </w:tcPr>
          <w:p w14:paraId="3094B358">
            <w:pPr>
              <w:spacing w:line="360" w:lineRule="auto"/>
              <w:jc w:val="left"/>
              <w:rPr>
                <w:rFonts w:ascii="微软雅黑" w:hAnsi="微软雅黑" w:eastAsia="微软雅黑"/>
                <w:b/>
                <w:bCs/>
                <w:color w:val="002060"/>
                <w:spacing w:val="8"/>
                <w:sz w:val="15"/>
                <w:szCs w:val="15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2060"/>
                <w:spacing w:val="8"/>
                <w:sz w:val="15"/>
                <w:szCs w:val="15"/>
              </w:rPr>
              <w:t>2025年度中国奥莱新生代旗舰奖</w:t>
            </w:r>
          </w:p>
        </w:tc>
        <w:tc>
          <w:tcPr>
            <w:tcW w:w="3213" w:type="dxa"/>
          </w:tcPr>
          <w:p w14:paraId="53B10DF6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bCs/>
                <w:color w:val="002060"/>
                <w:spacing w:val="8"/>
                <w:sz w:val="15"/>
                <w:szCs w:val="15"/>
              </w:rPr>
            </w:pPr>
          </w:p>
        </w:tc>
      </w:tr>
      <w:tr w14:paraId="1D2A5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</w:tcPr>
          <w:p w14:paraId="7C40DA8D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bCs/>
                <w:color w:val="002060"/>
                <w:spacing w:val="8"/>
                <w:sz w:val="15"/>
                <w:szCs w:val="15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2060"/>
                <w:spacing w:val="8"/>
                <w:sz w:val="15"/>
                <w:szCs w:val="15"/>
              </w:rPr>
              <w:t>A3</w:t>
            </w:r>
          </w:p>
        </w:tc>
        <w:tc>
          <w:tcPr>
            <w:tcW w:w="3692" w:type="dxa"/>
          </w:tcPr>
          <w:p w14:paraId="5F0D5FF0">
            <w:pPr>
              <w:spacing w:line="360" w:lineRule="auto"/>
              <w:jc w:val="left"/>
              <w:rPr>
                <w:rFonts w:ascii="微软雅黑" w:hAnsi="微软雅黑" w:eastAsia="微软雅黑"/>
                <w:b/>
                <w:bCs/>
                <w:color w:val="002060"/>
                <w:spacing w:val="8"/>
                <w:sz w:val="15"/>
                <w:szCs w:val="15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2060"/>
                <w:spacing w:val="8"/>
                <w:sz w:val="15"/>
                <w:szCs w:val="15"/>
              </w:rPr>
              <w:t>2025年度中国奥莱全域营销标杆奖</w:t>
            </w:r>
          </w:p>
        </w:tc>
        <w:tc>
          <w:tcPr>
            <w:tcW w:w="3213" w:type="dxa"/>
          </w:tcPr>
          <w:p w14:paraId="1F2658D3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bCs/>
                <w:color w:val="002060"/>
                <w:spacing w:val="8"/>
                <w:sz w:val="15"/>
                <w:szCs w:val="15"/>
              </w:rPr>
            </w:pPr>
          </w:p>
        </w:tc>
      </w:tr>
      <w:tr w14:paraId="56DF9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</w:tcPr>
          <w:p w14:paraId="7CC92A5E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bCs/>
                <w:color w:val="002060"/>
                <w:spacing w:val="8"/>
                <w:sz w:val="15"/>
                <w:szCs w:val="15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2060"/>
                <w:spacing w:val="8"/>
                <w:sz w:val="15"/>
                <w:szCs w:val="15"/>
              </w:rPr>
              <w:t>A4</w:t>
            </w:r>
          </w:p>
        </w:tc>
        <w:tc>
          <w:tcPr>
            <w:tcW w:w="3692" w:type="dxa"/>
          </w:tcPr>
          <w:p w14:paraId="4C6B64B7">
            <w:pPr>
              <w:spacing w:line="360" w:lineRule="auto"/>
              <w:jc w:val="left"/>
              <w:rPr>
                <w:rFonts w:ascii="微软雅黑" w:hAnsi="微软雅黑" w:eastAsia="微软雅黑"/>
                <w:b/>
                <w:bCs/>
                <w:color w:val="002060"/>
                <w:spacing w:val="8"/>
                <w:sz w:val="15"/>
                <w:szCs w:val="15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2060"/>
                <w:spacing w:val="8"/>
                <w:sz w:val="15"/>
                <w:szCs w:val="15"/>
              </w:rPr>
              <w:t>2026-2027年度最具期待奥莱</w:t>
            </w:r>
          </w:p>
        </w:tc>
        <w:tc>
          <w:tcPr>
            <w:tcW w:w="3213" w:type="dxa"/>
          </w:tcPr>
          <w:p w14:paraId="4F039107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bCs/>
                <w:color w:val="002060"/>
                <w:spacing w:val="8"/>
                <w:sz w:val="15"/>
                <w:szCs w:val="15"/>
              </w:rPr>
            </w:pPr>
          </w:p>
        </w:tc>
      </w:tr>
      <w:tr w14:paraId="4D39A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0A3D62"/>
          </w:tcPr>
          <w:p w14:paraId="5BA9F6D0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bCs/>
                <w:color w:val="000000" w:themeColor="text1"/>
                <w:spacing w:val="8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F2F2F2" w:themeColor="background1" w:themeShade="F2"/>
                <w:spacing w:val="8"/>
                <w:sz w:val="15"/>
                <w:szCs w:val="15"/>
              </w:rPr>
              <w:t>编号</w:t>
            </w:r>
          </w:p>
        </w:tc>
        <w:tc>
          <w:tcPr>
            <w:tcW w:w="3692" w:type="dxa"/>
            <w:shd w:val="clear" w:color="auto" w:fill="0A3D62"/>
          </w:tcPr>
          <w:p w14:paraId="226E7610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bCs/>
                <w:color w:val="000000" w:themeColor="text1"/>
                <w:spacing w:val="8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F2F2F2" w:themeColor="background1" w:themeShade="F2"/>
                <w:spacing w:val="8"/>
                <w:sz w:val="15"/>
                <w:szCs w:val="15"/>
              </w:rPr>
              <w:t>奖项（品牌类）</w:t>
            </w:r>
          </w:p>
        </w:tc>
        <w:tc>
          <w:tcPr>
            <w:tcW w:w="3213" w:type="dxa"/>
            <w:shd w:val="clear" w:color="auto" w:fill="0A3D62"/>
          </w:tcPr>
          <w:p w14:paraId="02B3F7E4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bCs/>
                <w:color w:val="000000" w:themeColor="text1"/>
                <w:spacing w:val="8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F2F2F2" w:themeColor="background1" w:themeShade="F2"/>
                <w:spacing w:val="8"/>
                <w:sz w:val="15"/>
                <w:szCs w:val="15"/>
              </w:rPr>
              <w:t>选择</w:t>
            </w:r>
          </w:p>
        </w:tc>
      </w:tr>
      <w:tr w14:paraId="67815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</w:tcPr>
          <w:p w14:paraId="371CA71B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bCs/>
                <w:color w:val="002060"/>
                <w:spacing w:val="8"/>
                <w:sz w:val="15"/>
                <w:szCs w:val="15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2060"/>
                <w:spacing w:val="8"/>
                <w:sz w:val="15"/>
                <w:szCs w:val="15"/>
              </w:rPr>
              <w:t>B5</w:t>
            </w:r>
          </w:p>
        </w:tc>
        <w:tc>
          <w:tcPr>
            <w:tcW w:w="3692" w:type="dxa"/>
          </w:tcPr>
          <w:p w14:paraId="614378AB">
            <w:pPr>
              <w:spacing w:line="360" w:lineRule="auto"/>
              <w:jc w:val="left"/>
              <w:rPr>
                <w:rFonts w:ascii="微软雅黑" w:hAnsi="微软雅黑" w:eastAsia="微软雅黑"/>
                <w:b/>
                <w:bCs/>
                <w:color w:val="002060"/>
                <w:spacing w:val="8"/>
                <w:sz w:val="15"/>
                <w:szCs w:val="15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2060"/>
                <w:spacing w:val="8"/>
                <w:sz w:val="15"/>
                <w:szCs w:val="15"/>
              </w:rPr>
              <w:t>2025年度中国奥莱优秀品牌</w:t>
            </w:r>
          </w:p>
        </w:tc>
        <w:tc>
          <w:tcPr>
            <w:tcW w:w="3213" w:type="dxa"/>
          </w:tcPr>
          <w:p w14:paraId="74792B5C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bCs/>
                <w:color w:val="002060"/>
                <w:spacing w:val="8"/>
                <w:sz w:val="15"/>
                <w:szCs w:val="15"/>
              </w:rPr>
            </w:pPr>
          </w:p>
        </w:tc>
      </w:tr>
      <w:tr w14:paraId="319E6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  <w:gridSpan w:val="3"/>
          </w:tcPr>
          <w:p w14:paraId="5A080589">
            <w:pPr>
              <w:spacing w:line="120" w:lineRule="atLeast"/>
              <w:jc w:val="left"/>
              <w:rPr>
                <w:rFonts w:ascii="微软雅黑" w:hAnsi="微软雅黑" w:eastAsia="微软雅黑"/>
                <w:b/>
                <w:bCs/>
                <w:color w:val="auto"/>
                <w:spacing w:val="8"/>
                <w:sz w:val="13"/>
                <w:szCs w:val="13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auto"/>
                <w:spacing w:val="8"/>
                <w:sz w:val="13"/>
                <w:szCs w:val="13"/>
                <w:lang w:val="en-US" w:eastAsia="zh-CN"/>
              </w:rPr>
              <w:t>参评截止时间</w:t>
            </w:r>
            <w:r>
              <w:rPr>
                <w:rFonts w:hint="eastAsia" w:ascii="微软雅黑" w:hAnsi="微软雅黑" w:eastAsia="微软雅黑"/>
                <w:b/>
                <w:bCs/>
                <w:color w:val="auto"/>
                <w:spacing w:val="8"/>
                <w:sz w:val="13"/>
                <w:szCs w:val="13"/>
              </w:rPr>
              <w:t>：202</w:t>
            </w:r>
            <w:r>
              <w:rPr>
                <w:rFonts w:hint="eastAsia" w:ascii="微软雅黑" w:hAnsi="微软雅黑" w:eastAsia="微软雅黑"/>
                <w:b/>
                <w:bCs/>
                <w:color w:val="auto"/>
                <w:spacing w:val="8"/>
                <w:sz w:val="13"/>
                <w:szCs w:val="13"/>
                <w:lang w:val="en-US" w:eastAsia="zh-CN"/>
              </w:rPr>
              <w:t>6</w:t>
            </w:r>
            <w:r>
              <w:rPr>
                <w:rFonts w:hint="eastAsia" w:ascii="微软雅黑" w:hAnsi="微软雅黑" w:eastAsia="微软雅黑"/>
                <w:b/>
                <w:bCs/>
                <w:color w:val="auto"/>
                <w:spacing w:val="8"/>
                <w:sz w:val="13"/>
                <w:szCs w:val="13"/>
              </w:rPr>
              <w:t>年</w:t>
            </w:r>
            <w:r>
              <w:rPr>
                <w:rFonts w:hint="eastAsia" w:ascii="微软雅黑" w:hAnsi="微软雅黑" w:eastAsia="微软雅黑"/>
                <w:b/>
                <w:bCs/>
                <w:color w:val="auto"/>
                <w:spacing w:val="8"/>
                <w:sz w:val="13"/>
                <w:szCs w:val="13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/>
                <w:b/>
                <w:bCs/>
                <w:color w:val="auto"/>
                <w:spacing w:val="8"/>
                <w:sz w:val="13"/>
                <w:szCs w:val="13"/>
              </w:rPr>
              <w:t>月</w:t>
            </w:r>
            <w:r>
              <w:rPr>
                <w:rFonts w:hint="eastAsia" w:ascii="微软雅黑" w:hAnsi="微软雅黑" w:eastAsia="微软雅黑"/>
                <w:b/>
                <w:bCs/>
                <w:color w:val="auto"/>
                <w:spacing w:val="8"/>
                <w:sz w:val="13"/>
                <w:szCs w:val="13"/>
                <w:lang w:val="en-US" w:eastAsia="zh-CN"/>
              </w:rPr>
              <w:t>24</w:t>
            </w:r>
            <w:r>
              <w:rPr>
                <w:rFonts w:hint="eastAsia" w:ascii="微软雅黑" w:hAnsi="微软雅黑" w:eastAsia="微软雅黑"/>
                <w:b/>
                <w:bCs/>
                <w:color w:val="auto"/>
                <w:spacing w:val="8"/>
                <w:sz w:val="13"/>
                <w:szCs w:val="13"/>
              </w:rPr>
              <w:t>日，颁奖时间：202</w:t>
            </w:r>
            <w:r>
              <w:rPr>
                <w:rFonts w:ascii="微软雅黑" w:hAnsi="微软雅黑" w:eastAsia="微软雅黑"/>
                <w:b/>
                <w:bCs/>
                <w:color w:val="auto"/>
                <w:spacing w:val="8"/>
                <w:sz w:val="13"/>
                <w:szCs w:val="13"/>
              </w:rPr>
              <w:t>6</w:t>
            </w:r>
            <w:r>
              <w:rPr>
                <w:rFonts w:hint="eastAsia" w:ascii="微软雅黑" w:hAnsi="微软雅黑" w:eastAsia="微软雅黑"/>
                <w:b/>
                <w:bCs/>
                <w:color w:val="auto"/>
                <w:spacing w:val="8"/>
                <w:sz w:val="13"/>
                <w:szCs w:val="13"/>
              </w:rPr>
              <w:t>年6月1</w:t>
            </w:r>
            <w:r>
              <w:rPr>
                <w:rFonts w:ascii="微软雅黑" w:hAnsi="微软雅黑" w:eastAsia="微软雅黑"/>
                <w:b/>
                <w:bCs/>
                <w:color w:val="auto"/>
                <w:spacing w:val="8"/>
                <w:sz w:val="13"/>
                <w:szCs w:val="13"/>
              </w:rPr>
              <w:t>7</w:t>
            </w:r>
            <w:r>
              <w:rPr>
                <w:rFonts w:hint="eastAsia" w:ascii="微软雅黑" w:hAnsi="微软雅黑" w:eastAsia="微软雅黑"/>
                <w:b/>
                <w:bCs/>
                <w:color w:val="auto"/>
                <w:spacing w:val="8"/>
                <w:sz w:val="13"/>
                <w:szCs w:val="13"/>
              </w:rPr>
              <w:t>日</w:t>
            </w:r>
          </w:p>
          <w:p w14:paraId="543012B2">
            <w:pPr>
              <w:spacing w:line="120" w:lineRule="atLeast"/>
              <w:jc w:val="left"/>
              <w:rPr>
                <w:rFonts w:hint="eastAsia" w:ascii="微软雅黑" w:hAnsi="微软雅黑" w:eastAsia="微软雅黑"/>
                <w:b/>
                <w:bCs/>
                <w:color w:val="auto"/>
                <w:spacing w:val="8"/>
                <w:sz w:val="13"/>
                <w:szCs w:val="13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auto"/>
                <w:spacing w:val="8"/>
                <w:sz w:val="13"/>
                <w:szCs w:val="13"/>
              </w:rPr>
              <w:t>评审资料收取邮箱：zzk@outletscn.com；参评咨询：18675830500、18502011185</w:t>
            </w:r>
          </w:p>
          <w:p w14:paraId="49648DBD">
            <w:pPr>
              <w:spacing w:line="120" w:lineRule="atLeast"/>
              <w:jc w:val="left"/>
              <w:rPr>
                <w:rFonts w:hint="eastAsia" w:ascii="微软雅黑" w:hAnsi="微软雅黑" w:eastAsia="微软雅黑"/>
                <w:b/>
                <w:bCs/>
                <w:color w:val="auto"/>
                <w:spacing w:val="8"/>
                <w:sz w:val="13"/>
                <w:szCs w:val="13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auto"/>
                <w:spacing w:val="8"/>
                <w:sz w:val="13"/>
                <w:szCs w:val="13"/>
              </w:rPr>
              <w:t>参评企业须在营业期内无违规操作，无不良经营记录，无不良信用记录等且无恶性债务、产权纠纷等记录。</w:t>
            </w:r>
          </w:p>
        </w:tc>
      </w:tr>
    </w:tbl>
    <w:p w14:paraId="4B510B13">
      <w:pPr>
        <w:spacing w:line="360" w:lineRule="auto"/>
        <w:rPr>
          <w:rFonts w:ascii="微软雅黑" w:hAnsi="微软雅黑" w:eastAsia="微软雅黑"/>
          <w:szCs w:val="21"/>
        </w:rPr>
      </w:pPr>
    </w:p>
    <w:p w14:paraId="5CCF2AFC">
      <w:pPr>
        <w:widowControl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br w:type="page"/>
      </w:r>
    </w:p>
    <w:p w14:paraId="32D3F365">
      <w:pPr>
        <w:spacing w:line="360" w:lineRule="auto"/>
        <w:jc w:val="center"/>
        <w:rPr>
          <w:rFonts w:asciiTheme="minorEastAsia" w:hAnsiTheme="minorEastAsia" w:eastAsiaTheme="minorEastAsia"/>
          <w:szCs w:val="21"/>
        </w:rPr>
      </w:pPr>
      <w:r>
        <w:rPr>
          <w:rFonts w:hint="eastAsia" w:ascii="微软雅黑" w:hAnsi="微软雅黑" w:eastAsia="微软雅黑"/>
          <w:b/>
          <w:sz w:val="28"/>
          <w:szCs w:val="28"/>
        </w:rPr>
        <w:t>2</w:t>
      </w:r>
      <w:r>
        <w:rPr>
          <w:rFonts w:ascii="微软雅黑" w:hAnsi="微软雅黑" w:eastAsia="微软雅黑"/>
          <w:b/>
          <w:sz w:val="28"/>
          <w:szCs w:val="28"/>
        </w:rPr>
        <w:t>025</w:t>
      </w:r>
      <w:r>
        <w:rPr>
          <w:rFonts w:hint="eastAsia" w:ascii="微软雅黑" w:hAnsi="微软雅黑" w:eastAsia="微软雅黑"/>
          <w:b/>
          <w:sz w:val="28"/>
          <w:szCs w:val="28"/>
        </w:rPr>
        <w:t>年度中国奥莱奖项评选说明</w:t>
      </w:r>
    </w:p>
    <w:p w14:paraId="4B174EFE">
      <w:pPr>
        <w:spacing w:line="360" w:lineRule="auto"/>
        <w:jc w:val="center"/>
        <w:rPr>
          <w:rFonts w:asciiTheme="minorEastAsia" w:hAnsiTheme="minorEastAsia" w:eastAsiaTheme="minorEastAsia"/>
          <w:b/>
          <w:sz w:val="28"/>
          <w:szCs w:val="28"/>
        </w:rPr>
      </w:pPr>
    </w:p>
    <w:p w14:paraId="583E42CF">
      <w:pPr>
        <w:spacing w:line="360" w:lineRule="auto"/>
        <w:ind w:firstLine="420" w:firstLineChars="200"/>
        <w:rPr>
          <w:rFonts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A1</w:t>
      </w:r>
      <w:r>
        <w:rPr>
          <w:rFonts w:ascii="微软雅黑" w:hAnsi="微软雅黑" w:eastAsia="微软雅黑"/>
          <w:b/>
          <w:szCs w:val="21"/>
        </w:rPr>
        <w:t xml:space="preserve">  </w:t>
      </w:r>
      <w:r>
        <w:rPr>
          <w:rStyle w:val="17"/>
          <w:rFonts w:hint="eastAsia" w:ascii="微软雅黑" w:hAnsi="微软雅黑" w:eastAsia="微软雅黑"/>
          <w:color w:val="DAB67A"/>
          <w:spacing w:val="8"/>
        </w:rPr>
        <w:t>2025年度中国奥莱TOP 50标杆项目</w:t>
      </w:r>
    </w:p>
    <w:p w14:paraId="6795E58D">
      <w:pPr>
        <w:spacing w:line="360" w:lineRule="auto"/>
        <w:ind w:firstLine="422" w:firstLineChars="200"/>
        <w:rPr>
          <w:rFonts w:asciiTheme="minorEastAsia" w:hAnsiTheme="minorEastAsia" w:eastAsiaTheme="minorEastAsia"/>
          <w:b/>
          <w:szCs w:val="21"/>
        </w:rPr>
      </w:pPr>
      <w:r>
        <w:rPr>
          <w:rFonts w:hint="eastAsia" w:asciiTheme="minorEastAsia" w:hAnsiTheme="minorEastAsia" w:eastAsiaTheme="minorEastAsia"/>
          <w:b/>
          <w:szCs w:val="21"/>
        </w:rPr>
        <w:t>重点考量项目业绩、业态完整度、业态新颖性、区域带动性、流通口碑等方面。</w:t>
      </w:r>
    </w:p>
    <w:p w14:paraId="7C9430B4">
      <w:pPr>
        <w:spacing w:line="360" w:lineRule="auto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参选项目要求：</w:t>
      </w:r>
    </w:p>
    <w:p w14:paraId="5C1D6B77">
      <w:pPr>
        <w:pStyle w:val="28"/>
        <w:spacing w:line="360" w:lineRule="auto"/>
        <w:ind w:left="420" w:firstLine="0" w:firstLineChars="0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限20</w:t>
      </w:r>
      <w:r>
        <w:rPr>
          <w:rFonts w:asciiTheme="minorEastAsia" w:hAnsiTheme="minorEastAsia" w:eastAsiaTheme="minorEastAsia"/>
          <w:sz w:val="21"/>
          <w:szCs w:val="21"/>
        </w:rPr>
        <w:t>25</w:t>
      </w:r>
      <w:r>
        <w:rPr>
          <w:rFonts w:hint="eastAsia" w:asciiTheme="minorEastAsia" w:hAnsiTheme="minorEastAsia" w:eastAsiaTheme="minorEastAsia"/>
          <w:sz w:val="21"/>
          <w:szCs w:val="21"/>
        </w:rPr>
        <w:t>年12月31日前开业的奥特莱斯（颁奖日前仍在正常运营）</w:t>
      </w:r>
    </w:p>
    <w:p w14:paraId="6FB09AA8">
      <w:pPr>
        <w:spacing w:line="360" w:lineRule="auto"/>
        <w:ind w:firstLine="42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参选项目资料提交如下</w:t>
      </w:r>
    </w:p>
    <w:p w14:paraId="652A047B">
      <w:pPr>
        <w:spacing w:line="360" w:lineRule="auto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1</w:t>
      </w:r>
      <w:r>
        <w:rPr>
          <w:rFonts w:asciiTheme="minorEastAsia" w:hAnsiTheme="minorEastAsia" w:eastAsiaTheme="minorEastAsia"/>
          <w:szCs w:val="21"/>
        </w:rPr>
        <w:t>.</w:t>
      </w:r>
      <w:r>
        <w:rPr>
          <w:rFonts w:hint="eastAsia" w:asciiTheme="minorEastAsia" w:hAnsiTheme="minorEastAsia" w:eastAsiaTheme="minorEastAsia"/>
          <w:szCs w:val="21"/>
        </w:rPr>
        <w:t>项目具体交通、建筑参数；</w:t>
      </w:r>
    </w:p>
    <w:p w14:paraId="17FAE0CA">
      <w:pPr>
        <w:spacing w:line="360" w:lineRule="auto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2</w:t>
      </w:r>
      <w:r>
        <w:rPr>
          <w:rFonts w:asciiTheme="minorEastAsia" w:hAnsiTheme="minorEastAsia" w:eastAsiaTheme="minorEastAsia"/>
          <w:szCs w:val="21"/>
        </w:rPr>
        <w:t>.</w:t>
      </w:r>
      <w:r>
        <w:rPr>
          <w:rFonts w:hint="eastAsia" w:asciiTheme="minorEastAsia" w:hAnsiTheme="minorEastAsia" w:eastAsiaTheme="minorEastAsia"/>
          <w:szCs w:val="21"/>
        </w:rPr>
        <w:t>项目具体经营数据，包括业态规划详细说明，品牌数量及品牌占比说明；</w:t>
      </w:r>
    </w:p>
    <w:p w14:paraId="0E8E73C3">
      <w:pPr>
        <w:spacing w:line="360" w:lineRule="auto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3</w:t>
      </w:r>
      <w:r>
        <w:rPr>
          <w:rFonts w:asciiTheme="minorEastAsia" w:hAnsiTheme="minorEastAsia" w:eastAsiaTheme="minorEastAsia"/>
          <w:szCs w:val="21"/>
        </w:rPr>
        <w:t>.</w:t>
      </w:r>
      <w:r>
        <w:rPr>
          <w:rFonts w:hint="eastAsia" w:asciiTheme="minorEastAsia" w:hAnsiTheme="minorEastAsia" w:eastAsiaTheme="minorEastAsia"/>
          <w:szCs w:val="21"/>
        </w:rPr>
        <w:t>202</w:t>
      </w:r>
      <w:r>
        <w:rPr>
          <w:rFonts w:asciiTheme="minorEastAsia" w:hAnsiTheme="minorEastAsia" w:eastAsiaTheme="minorEastAsia"/>
          <w:szCs w:val="21"/>
        </w:rPr>
        <w:t>5</w:t>
      </w:r>
      <w:r>
        <w:rPr>
          <w:rFonts w:hint="eastAsia" w:asciiTheme="minorEastAsia" w:hAnsiTheme="minorEastAsia" w:eastAsiaTheme="minorEastAsia"/>
          <w:szCs w:val="21"/>
        </w:rPr>
        <w:t>年度发生的业绩指标；</w:t>
      </w:r>
    </w:p>
    <w:p w14:paraId="09FBB32B">
      <w:pPr>
        <w:spacing w:line="360" w:lineRule="auto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4</w:t>
      </w:r>
      <w:r>
        <w:rPr>
          <w:rFonts w:asciiTheme="minorEastAsia" w:hAnsiTheme="minorEastAsia" w:eastAsiaTheme="minorEastAsia"/>
          <w:szCs w:val="21"/>
        </w:rPr>
        <w:t>.</w:t>
      </w:r>
      <w:r>
        <w:rPr>
          <w:rFonts w:hint="eastAsia" w:asciiTheme="minorEastAsia" w:hAnsiTheme="minorEastAsia" w:eastAsiaTheme="minorEastAsia"/>
          <w:szCs w:val="21"/>
        </w:rPr>
        <w:t>参详项目VIP客户及微信粉丝数量；</w:t>
      </w:r>
    </w:p>
    <w:p w14:paraId="18153C5C">
      <w:pPr>
        <w:spacing w:line="360" w:lineRule="auto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asciiTheme="minorEastAsia" w:hAnsiTheme="minorEastAsia" w:eastAsiaTheme="minorEastAsia"/>
          <w:szCs w:val="21"/>
        </w:rPr>
        <w:t>5</w:t>
      </w:r>
      <w:r>
        <w:rPr>
          <w:rFonts w:hint="eastAsia" w:asciiTheme="minorEastAsia" w:hAnsiTheme="minorEastAsia" w:eastAsiaTheme="minorEastAsia"/>
          <w:szCs w:val="21"/>
        </w:rPr>
        <w:t>.地区性社会性获奖情况说明。</w:t>
      </w:r>
    </w:p>
    <w:p w14:paraId="7F057E92">
      <w:pPr>
        <w:spacing w:line="360" w:lineRule="auto"/>
        <w:ind w:firstLine="420" w:firstLineChars="200"/>
        <w:rPr>
          <w:rFonts w:asciiTheme="minorEastAsia" w:hAnsiTheme="minorEastAsia" w:eastAsiaTheme="minorEastAsia"/>
          <w:szCs w:val="21"/>
        </w:rPr>
      </w:pPr>
    </w:p>
    <w:p w14:paraId="4384BA4C">
      <w:pPr>
        <w:spacing w:line="360" w:lineRule="auto"/>
        <w:ind w:firstLine="420"/>
        <w:rPr>
          <w:rStyle w:val="17"/>
          <w:rFonts w:ascii="微软雅黑" w:hAnsi="微软雅黑" w:eastAsia="微软雅黑"/>
          <w:color w:val="DAB67A"/>
          <w:spacing w:val="8"/>
        </w:rPr>
      </w:pPr>
      <w:r>
        <w:rPr>
          <w:rFonts w:hint="eastAsia" w:ascii="微软雅黑" w:hAnsi="微软雅黑" w:eastAsia="微软雅黑"/>
          <w:b/>
          <w:szCs w:val="21"/>
        </w:rPr>
        <w:t>A</w:t>
      </w:r>
      <w:r>
        <w:rPr>
          <w:rFonts w:ascii="微软雅黑" w:hAnsi="微软雅黑" w:eastAsia="微软雅黑"/>
          <w:b/>
          <w:szCs w:val="21"/>
        </w:rPr>
        <w:t>2</w:t>
      </w:r>
      <w:r>
        <w:rPr>
          <w:rFonts w:hint="eastAsia" w:ascii="微软雅黑" w:hAnsi="微软雅黑" w:eastAsia="微软雅黑"/>
          <w:b/>
          <w:szCs w:val="21"/>
        </w:rPr>
        <w:t xml:space="preserve">  </w:t>
      </w:r>
      <w:r>
        <w:rPr>
          <w:rStyle w:val="17"/>
          <w:rFonts w:hint="eastAsia" w:ascii="微软雅黑" w:hAnsi="微软雅黑" w:eastAsia="微软雅黑"/>
          <w:color w:val="DAB67A"/>
          <w:spacing w:val="8"/>
        </w:rPr>
        <w:t>202</w:t>
      </w:r>
      <w:r>
        <w:rPr>
          <w:rStyle w:val="17"/>
          <w:rFonts w:ascii="微软雅黑" w:hAnsi="微软雅黑" w:eastAsia="微软雅黑"/>
          <w:color w:val="DAB67A"/>
          <w:spacing w:val="8"/>
        </w:rPr>
        <w:t>5</w:t>
      </w:r>
      <w:r>
        <w:rPr>
          <w:rStyle w:val="17"/>
          <w:rFonts w:hint="eastAsia" w:ascii="微软雅黑" w:hAnsi="微软雅黑" w:eastAsia="微软雅黑"/>
          <w:color w:val="DAB67A"/>
          <w:spacing w:val="8"/>
        </w:rPr>
        <w:t>年度中国奥莱新生代旗舰奖</w:t>
      </w:r>
    </w:p>
    <w:p w14:paraId="55EBCB40">
      <w:pPr>
        <w:spacing w:line="360" w:lineRule="auto"/>
        <w:ind w:firstLine="422" w:firstLineChars="200"/>
        <w:rPr>
          <w:rFonts w:asciiTheme="minorEastAsia" w:hAnsiTheme="minorEastAsia" w:eastAsiaTheme="minorEastAsia"/>
          <w:b/>
          <w:szCs w:val="21"/>
        </w:rPr>
      </w:pPr>
      <w:r>
        <w:rPr>
          <w:rFonts w:hint="eastAsia" w:asciiTheme="minorEastAsia" w:hAnsiTheme="minorEastAsia" w:eastAsiaTheme="minorEastAsia"/>
          <w:b/>
          <w:szCs w:val="21"/>
        </w:rPr>
        <w:t>重点考量项目业绩、业态完整度、业态新颖性、区域带动性、流通口碑等方面。</w:t>
      </w:r>
    </w:p>
    <w:p w14:paraId="51E147B1">
      <w:pPr>
        <w:spacing w:line="360" w:lineRule="auto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参选项目要求：</w:t>
      </w:r>
    </w:p>
    <w:p w14:paraId="4A882B4A">
      <w:pPr>
        <w:pStyle w:val="28"/>
        <w:spacing w:line="360" w:lineRule="auto"/>
        <w:ind w:left="420" w:firstLine="0" w:firstLineChars="0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限20</w:t>
      </w:r>
      <w:r>
        <w:rPr>
          <w:rFonts w:asciiTheme="minorEastAsia" w:hAnsiTheme="minorEastAsia" w:eastAsiaTheme="minorEastAsia"/>
          <w:sz w:val="21"/>
          <w:szCs w:val="21"/>
        </w:rPr>
        <w:t>25</w:t>
      </w:r>
      <w:r>
        <w:rPr>
          <w:rFonts w:hint="eastAsia" w:asciiTheme="minorEastAsia" w:hAnsiTheme="minorEastAsia" w:eastAsiaTheme="minorEastAsia"/>
          <w:sz w:val="21"/>
          <w:szCs w:val="21"/>
        </w:rPr>
        <w:t>年内开业的奥特莱斯（颁奖日前仍在正常运营）</w:t>
      </w:r>
    </w:p>
    <w:p w14:paraId="64F1957D">
      <w:pPr>
        <w:spacing w:line="360" w:lineRule="auto"/>
        <w:ind w:firstLine="42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参选项目资料提交如下</w:t>
      </w:r>
    </w:p>
    <w:p w14:paraId="2300D3EC">
      <w:pPr>
        <w:spacing w:line="360" w:lineRule="auto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1</w:t>
      </w:r>
      <w:r>
        <w:rPr>
          <w:rFonts w:asciiTheme="minorEastAsia" w:hAnsiTheme="minorEastAsia" w:eastAsiaTheme="minorEastAsia"/>
          <w:szCs w:val="21"/>
        </w:rPr>
        <w:t>.</w:t>
      </w:r>
      <w:r>
        <w:rPr>
          <w:rFonts w:hint="eastAsia" w:asciiTheme="minorEastAsia" w:hAnsiTheme="minorEastAsia" w:eastAsiaTheme="minorEastAsia"/>
          <w:szCs w:val="21"/>
        </w:rPr>
        <w:t>项目具体交通、建筑参数；</w:t>
      </w:r>
    </w:p>
    <w:p w14:paraId="71CED3B5">
      <w:pPr>
        <w:spacing w:line="360" w:lineRule="auto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2</w:t>
      </w:r>
      <w:r>
        <w:rPr>
          <w:rFonts w:asciiTheme="minorEastAsia" w:hAnsiTheme="minorEastAsia" w:eastAsiaTheme="minorEastAsia"/>
          <w:szCs w:val="21"/>
        </w:rPr>
        <w:t>.</w:t>
      </w:r>
      <w:r>
        <w:rPr>
          <w:rFonts w:hint="eastAsia" w:asciiTheme="minorEastAsia" w:hAnsiTheme="minorEastAsia" w:eastAsiaTheme="minorEastAsia"/>
          <w:szCs w:val="21"/>
        </w:rPr>
        <w:t>项目具体经营数据，包括业态规划详细说明，品牌数量及品牌占比说明；</w:t>
      </w:r>
    </w:p>
    <w:p w14:paraId="269CB1D4">
      <w:pPr>
        <w:spacing w:line="360" w:lineRule="auto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3</w:t>
      </w:r>
      <w:r>
        <w:rPr>
          <w:rFonts w:asciiTheme="minorEastAsia" w:hAnsiTheme="minorEastAsia" w:eastAsiaTheme="minorEastAsia"/>
          <w:szCs w:val="21"/>
        </w:rPr>
        <w:t>.</w:t>
      </w:r>
      <w:r>
        <w:rPr>
          <w:rFonts w:hint="eastAsia" w:asciiTheme="minorEastAsia" w:hAnsiTheme="minorEastAsia" w:eastAsiaTheme="minorEastAsia"/>
          <w:szCs w:val="21"/>
        </w:rPr>
        <w:t>202</w:t>
      </w:r>
      <w:r>
        <w:rPr>
          <w:rFonts w:asciiTheme="minorEastAsia" w:hAnsiTheme="minorEastAsia" w:eastAsiaTheme="minorEastAsia"/>
          <w:szCs w:val="21"/>
        </w:rPr>
        <w:t>5</w:t>
      </w:r>
      <w:r>
        <w:rPr>
          <w:rFonts w:hint="eastAsia" w:asciiTheme="minorEastAsia" w:hAnsiTheme="minorEastAsia" w:eastAsiaTheme="minorEastAsia"/>
          <w:szCs w:val="21"/>
        </w:rPr>
        <w:t>年开业至今发生的业绩指标；</w:t>
      </w:r>
    </w:p>
    <w:p w14:paraId="645EDB38">
      <w:pPr>
        <w:spacing w:line="360" w:lineRule="auto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4</w:t>
      </w:r>
      <w:r>
        <w:rPr>
          <w:rFonts w:asciiTheme="minorEastAsia" w:hAnsiTheme="minorEastAsia" w:eastAsiaTheme="minorEastAsia"/>
          <w:szCs w:val="21"/>
        </w:rPr>
        <w:t>.</w:t>
      </w:r>
      <w:r>
        <w:rPr>
          <w:rFonts w:hint="eastAsia" w:asciiTheme="minorEastAsia" w:hAnsiTheme="minorEastAsia" w:eastAsiaTheme="minorEastAsia"/>
          <w:szCs w:val="21"/>
        </w:rPr>
        <w:t>参详项目VIP客户及微信粉丝数量；</w:t>
      </w:r>
    </w:p>
    <w:p w14:paraId="260CDEF1">
      <w:pPr>
        <w:spacing w:line="360" w:lineRule="auto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asciiTheme="minorEastAsia" w:hAnsiTheme="minorEastAsia" w:eastAsiaTheme="minorEastAsia"/>
          <w:szCs w:val="21"/>
        </w:rPr>
        <w:t>5</w:t>
      </w:r>
      <w:r>
        <w:rPr>
          <w:rFonts w:hint="eastAsia" w:asciiTheme="minorEastAsia" w:hAnsiTheme="minorEastAsia" w:eastAsiaTheme="minorEastAsia"/>
          <w:szCs w:val="21"/>
        </w:rPr>
        <w:t>.地区性社会性获奖情况说明。</w:t>
      </w:r>
    </w:p>
    <w:p w14:paraId="01B950B2">
      <w:pPr>
        <w:spacing w:line="360" w:lineRule="auto"/>
        <w:rPr>
          <w:rFonts w:hint="eastAsia" w:asciiTheme="minorEastAsia" w:hAnsiTheme="minorEastAsia" w:eastAsiaTheme="minorEastAsia"/>
          <w:szCs w:val="21"/>
        </w:rPr>
      </w:pPr>
    </w:p>
    <w:p w14:paraId="3D5963C7">
      <w:pPr>
        <w:spacing w:line="360" w:lineRule="auto"/>
        <w:ind w:firstLine="420" w:firstLineChars="200"/>
        <w:rPr>
          <w:rFonts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A</w:t>
      </w:r>
      <w:r>
        <w:rPr>
          <w:rFonts w:ascii="微软雅黑" w:hAnsi="微软雅黑" w:eastAsia="微软雅黑"/>
          <w:b/>
          <w:szCs w:val="21"/>
        </w:rPr>
        <w:t xml:space="preserve">3  </w:t>
      </w:r>
      <w:r>
        <w:rPr>
          <w:rStyle w:val="17"/>
          <w:rFonts w:hint="eastAsia" w:ascii="微软雅黑" w:hAnsi="微软雅黑" w:eastAsia="微软雅黑"/>
          <w:color w:val="DAB67A"/>
          <w:spacing w:val="8"/>
        </w:rPr>
        <w:t>202</w:t>
      </w:r>
      <w:r>
        <w:rPr>
          <w:rStyle w:val="17"/>
          <w:rFonts w:ascii="微软雅黑" w:hAnsi="微软雅黑" w:eastAsia="微软雅黑"/>
          <w:color w:val="DAB67A"/>
          <w:spacing w:val="8"/>
        </w:rPr>
        <w:t>5</w:t>
      </w:r>
      <w:r>
        <w:rPr>
          <w:rStyle w:val="17"/>
          <w:rFonts w:hint="eastAsia" w:ascii="微软雅黑" w:hAnsi="微软雅黑" w:eastAsia="微软雅黑"/>
          <w:color w:val="DAB67A"/>
          <w:spacing w:val="8"/>
        </w:rPr>
        <w:t>年度中国奥莱全域营销标杆奖</w:t>
      </w:r>
    </w:p>
    <w:p w14:paraId="29559C18">
      <w:pPr>
        <w:spacing w:line="360" w:lineRule="auto"/>
        <w:ind w:firstLine="422" w:firstLineChars="200"/>
        <w:rPr>
          <w:rFonts w:asciiTheme="minorEastAsia" w:hAnsiTheme="minorEastAsia" w:eastAsiaTheme="minorEastAsia"/>
          <w:b/>
          <w:szCs w:val="21"/>
        </w:rPr>
      </w:pPr>
      <w:r>
        <w:rPr>
          <w:rFonts w:hint="eastAsia" w:asciiTheme="minorEastAsia" w:hAnsiTheme="minorEastAsia" w:eastAsiaTheme="minorEastAsia"/>
          <w:b/>
          <w:szCs w:val="21"/>
        </w:rPr>
        <w:t>重点考量项目营销活动的区域覆盖率、创意创新度、执行完整度及效果评估等方面。</w:t>
      </w:r>
    </w:p>
    <w:p w14:paraId="5452042F">
      <w:pPr>
        <w:spacing w:line="360" w:lineRule="auto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参选项目要求：</w:t>
      </w:r>
    </w:p>
    <w:p w14:paraId="69775324">
      <w:pPr>
        <w:pStyle w:val="28"/>
        <w:spacing w:line="360" w:lineRule="auto"/>
        <w:ind w:left="420" w:firstLine="0" w:firstLineChars="0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限20</w:t>
      </w:r>
      <w:r>
        <w:rPr>
          <w:rFonts w:asciiTheme="minorEastAsia" w:hAnsiTheme="minorEastAsia" w:eastAsiaTheme="minorEastAsia"/>
          <w:sz w:val="21"/>
          <w:szCs w:val="21"/>
        </w:rPr>
        <w:t>25</w:t>
      </w:r>
      <w:r>
        <w:rPr>
          <w:rFonts w:hint="eastAsia" w:asciiTheme="minorEastAsia" w:hAnsiTheme="minorEastAsia" w:eastAsiaTheme="minorEastAsia"/>
          <w:sz w:val="21"/>
          <w:szCs w:val="21"/>
        </w:rPr>
        <w:t>年12月31日前开业的奥特莱斯（颁奖日前仍在正常运营）</w:t>
      </w:r>
    </w:p>
    <w:p w14:paraId="21BD84A4">
      <w:pPr>
        <w:pStyle w:val="28"/>
        <w:spacing w:line="360" w:lineRule="auto"/>
        <w:ind w:left="420" w:firstLine="0" w:firstLineChars="0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营销活动已实施并有收益效果支持。营销活动须发生于20</w:t>
      </w:r>
      <w:r>
        <w:rPr>
          <w:rFonts w:asciiTheme="minorEastAsia" w:hAnsiTheme="minorEastAsia" w:eastAsiaTheme="minorEastAsia"/>
          <w:sz w:val="21"/>
          <w:szCs w:val="21"/>
        </w:rPr>
        <w:t>25</w:t>
      </w:r>
      <w:r>
        <w:rPr>
          <w:rFonts w:hint="eastAsia" w:asciiTheme="minorEastAsia" w:hAnsiTheme="minorEastAsia" w:eastAsiaTheme="minorEastAsia"/>
          <w:sz w:val="21"/>
          <w:szCs w:val="21"/>
        </w:rPr>
        <w:t>年1月1日—12月31日期间。</w:t>
      </w:r>
    </w:p>
    <w:p w14:paraId="7E964504">
      <w:pPr>
        <w:spacing w:line="360" w:lineRule="auto"/>
        <w:ind w:firstLine="42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参选项目资料提交如下</w:t>
      </w:r>
    </w:p>
    <w:p w14:paraId="65E2A88E">
      <w:pPr>
        <w:spacing w:line="360" w:lineRule="auto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1</w:t>
      </w:r>
      <w:r>
        <w:rPr>
          <w:rFonts w:asciiTheme="minorEastAsia" w:hAnsiTheme="minorEastAsia" w:eastAsiaTheme="minorEastAsia"/>
          <w:szCs w:val="21"/>
        </w:rPr>
        <w:t>.</w:t>
      </w:r>
      <w:r>
        <w:rPr>
          <w:rFonts w:hint="eastAsia" w:asciiTheme="minorEastAsia" w:hAnsiTheme="minorEastAsia" w:eastAsiaTheme="minorEastAsia"/>
          <w:szCs w:val="21"/>
        </w:rPr>
        <w:t>项目具体交通、建筑参数；</w:t>
      </w:r>
    </w:p>
    <w:p w14:paraId="43694466">
      <w:pPr>
        <w:spacing w:line="360" w:lineRule="auto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2</w:t>
      </w:r>
      <w:r>
        <w:rPr>
          <w:rFonts w:asciiTheme="minorEastAsia" w:hAnsiTheme="minorEastAsia" w:eastAsiaTheme="minorEastAsia"/>
          <w:szCs w:val="21"/>
        </w:rPr>
        <w:t>.</w:t>
      </w:r>
      <w:r>
        <w:rPr>
          <w:rFonts w:hint="eastAsia" w:asciiTheme="minorEastAsia" w:hAnsiTheme="minorEastAsia" w:eastAsiaTheme="minorEastAsia"/>
          <w:szCs w:val="21"/>
        </w:rPr>
        <w:t>项目具体经营数据，包括业态规划详细说明，品牌数量及品牌占比说明；</w:t>
      </w:r>
    </w:p>
    <w:p w14:paraId="3871DDB7">
      <w:pPr>
        <w:spacing w:line="360" w:lineRule="auto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3</w:t>
      </w:r>
      <w:r>
        <w:rPr>
          <w:rFonts w:asciiTheme="minorEastAsia" w:hAnsiTheme="minorEastAsia" w:eastAsiaTheme="minorEastAsia"/>
          <w:szCs w:val="21"/>
        </w:rPr>
        <w:t>.</w:t>
      </w:r>
      <w:r>
        <w:rPr>
          <w:rFonts w:hint="eastAsia" w:asciiTheme="minorEastAsia" w:hAnsiTheme="minorEastAsia" w:eastAsiaTheme="minorEastAsia"/>
          <w:szCs w:val="21"/>
        </w:rPr>
        <w:t>202</w:t>
      </w:r>
      <w:r>
        <w:rPr>
          <w:rFonts w:asciiTheme="minorEastAsia" w:hAnsiTheme="minorEastAsia" w:eastAsiaTheme="minorEastAsia"/>
          <w:szCs w:val="21"/>
        </w:rPr>
        <w:t>5</w:t>
      </w:r>
      <w:r>
        <w:rPr>
          <w:rFonts w:hint="eastAsia" w:asciiTheme="minorEastAsia" w:hAnsiTheme="minorEastAsia" w:eastAsiaTheme="minorEastAsia"/>
          <w:szCs w:val="21"/>
        </w:rPr>
        <w:t>年度发生的业绩指标；</w:t>
      </w:r>
    </w:p>
    <w:p w14:paraId="03537519">
      <w:pPr>
        <w:spacing w:line="360" w:lineRule="auto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4.参详项目VIP客户及微信粉丝数量；</w:t>
      </w:r>
    </w:p>
    <w:p w14:paraId="33BFFBBA">
      <w:pPr>
        <w:spacing w:line="360" w:lineRule="auto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5.营销活动创意说明（文字说明），营销活动覆盖率及成果说明（图文版）；</w:t>
      </w:r>
    </w:p>
    <w:p w14:paraId="6728D886">
      <w:pPr>
        <w:spacing w:line="360" w:lineRule="auto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6.地区性社会性获奖情况说明。</w:t>
      </w:r>
    </w:p>
    <w:p w14:paraId="76DA634F">
      <w:pPr>
        <w:spacing w:line="360" w:lineRule="auto"/>
        <w:rPr>
          <w:rStyle w:val="17"/>
          <w:rFonts w:ascii="微软雅黑" w:hAnsi="微软雅黑" w:eastAsia="微软雅黑"/>
          <w:color w:val="DAB67A"/>
          <w:spacing w:val="8"/>
        </w:rPr>
      </w:pPr>
    </w:p>
    <w:p w14:paraId="50F9A0B7">
      <w:pPr>
        <w:pStyle w:val="13"/>
        <w:shd w:val="clear" w:color="auto" w:fill="FFFFFF"/>
        <w:spacing w:before="0" w:beforeAutospacing="0" w:after="0" w:afterAutospacing="0" w:line="420" w:lineRule="atLeast"/>
        <w:ind w:right="405" w:firstLine="226" w:firstLineChars="100"/>
        <w:rPr>
          <w:rFonts w:ascii="Microsoft YaHei UI" w:hAnsi="Microsoft YaHei UI" w:eastAsia="Microsoft YaHei UI"/>
          <w:color w:val="333333"/>
          <w:spacing w:val="8"/>
        </w:rPr>
      </w:pPr>
      <w:r>
        <w:rPr>
          <w:rStyle w:val="35"/>
          <w:rFonts w:hint="eastAsia" w:ascii="Microsoft YaHei UI" w:hAnsi="Microsoft YaHei UI" w:eastAsia="Microsoft YaHei UI"/>
          <w:color w:val="000000"/>
          <w:spacing w:val="8"/>
          <w:sz w:val="21"/>
          <w:szCs w:val="21"/>
        </w:rPr>
        <w:t>A</w:t>
      </w:r>
      <w:r>
        <w:rPr>
          <w:rStyle w:val="35"/>
          <w:rFonts w:ascii="Microsoft YaHei UI" w:hAnsi="Microsoft YaHei UI" w:eastAsia="Microsoft YaHei UI"/>
          <w:color w:val="000000"/>
          <w:spacing w:val="8"/>
          <w:sz w:val="21"/>
          <w:szCs w:val="21"/>
        </w:rPr>
        <w:t>4</w:t>
      </w:r>
      <w:r>
        <w:rPr>
          <w:rStyle w:val="35"/>
          <w:rFonts w:hint="eastAsia" w:ascii="Microsoft YaHei UI" w:hAnsi="Microsoft YaHei UI" w:eastAsia="Microsoft YaHei UI"/>
          <w:color w:val="000000"/>
          <w:spacing w:val="8"/>
          <w:sz w:val="21"/>
          <w:szCs w:val="21"/>
        </w:rPr>
        <w:t xml:space="preserve"> </w:t>
      </w:r>
      <w:r>
        <w:rPr>
          <w:rStyle w:val="35"/>
          <w:rFonts w:hint="eastAsia" w:ascii="Microsoft YaHei UI" w:hAnsi="Microsoft YaHei UI" w:eastAsia="Microsoft YaHei UI"/>
          <w:color w:val="000000"/>
          <w:spacing w:val="8"/>
        </w:rPr>
        <w:t xml:space="preserve"> </w:t>
      </w:r>
      <w:r>
        <w:rPr>
          <w:rStyle w:val="35"/>
          <w:rFonts w:hint="eastAsia" w:ascii="Microsoft YaHei UI" w:hAnsi="Microsoft YaHei UI" w:eastAsia="Microsoft YaHei UI"/>
          <w:color w:val="DAB67A"/>
          <w:spacing w:val="8"/>
        </w:rPr>
        <w:t xml:space="preserve"> 202</w:t>
      </w:r>
      <w:r>
        <w:rPr>
          <w:rStyle w:val="35"/>
          <w:rFonts w:ascii="Microsoft YaHei UI" w:hAnsi="Microsoft YaHei UI" w:eastAsia="Microsoft YaHei UI"/>
          <w:color w:val="DAB67A"/>
          <w:spacing w:val="8"/>
        </w:rPr>
        <w:t>6</w:t>
      </w:r>
      <w:r>
        <w:rPr>
          <w:rStyle w:val="35"/>
          <w:rFonts w:hint="eastAsia" w:ascii="Microsoft YaHei UI" w:hAnsi="Microsoft YaHei UI" w:eastAsia="Microsoft YaHei UI"/>
          <w:color w:val="DAB67A"/>
          <w:spacing w:val="8"/>
        </w:rPr>
        <w:t>-202</w:t>
      </w:r>
      <w:r>
        <w:rPr>
          <w:rStyle w:val="35"/>
          <w:rFonts w:ascii="Microsoft YaHei UI" w:hAnsi="Microsoft YaHei UI" w:eastAsia="Microsoft YaHei UI"/>
          <w:color w:val="DAB67A"/>
          <w:spacing w:val="8"/>
        </w:rPr>
        <w:t>7</w:t>
      </w:r>
      <w:r>
        <w:rPr>
          <w:rStyle w:val="35"/>
          <w:rFonts w:hint="eastAsia" w:ascii="Microsoft YaHei UI" w:hAnsi="Microsoft YaHei UI" w:eastAsia="Microsoft YaHei UI"/>
          <w:color w:val="DAB67A"/>
          <w:spacing w:val="8"/>
        </w:rPr>
        <w:t>年度最具期待奥莱</w:t>
      </w:r>
    </w:p>
    <w:p w14:paraId="13975F0E">
      <w:pPr>
        <w:spacing w:line="360" w:lineRule="auto"/>
        <w:ind w:firstLine="422" w:firstLineChars="200"/>
        <w:rPr>
          <w:rFonts w:hint="eastAsia" w:ascii="宋体" w:hAnsi="宋体"/>
          <w:b/>
        </w:rPr>
      </w:pPr>
      <w:r>
        <w:rPr>
          <w:rFonts w:hint="eastAsia" w:ascii="宋体" w:hAnsi="宋体"/>
          <w:b/>
        </w:rPr>
        <w:t>重点考量项目的整体规划布局、模式创新力、可持续发展潜力等方面。</w:t>
      </w:r>
    </w:p>
    <w:p w14:paraId="31265602">
      <w:pPr>
        <w:spacing w:line="360" w:lineRule="auto"/>
        <w:rPr>
          <w:rFonts w:hint="eastAsia" w:ascii="宋体" w:hAnsi="宋体"/>
        </w:rPr>
      </w:pPr>
      <w:r>
        <w:rPr>
          <w:rFonts w:hint="eastAsia" w:ascii="宋体" w:hAnsi="宋体"/>
        </w:rPr>
        <w:t>参选企业要求：</w:t>
      </w:r>
    </w:p>
    <w:p w14:paraId="26BE4DDD">
      <w:pPr>
        <w:spacing w:line="360" w:lineRule="auto"/>
        <w:ind w:left="420" w:leftChars="200"/>
        <w:rPr>
          <w:rFonts w:hint="eastAsia" w:ascii="宋体" w:hAnsi="宋体"/>
        </w:rPr>
      </w:pPr>
      <w:r>
        <w:rPr>
          <w:rFonts w:hint="eastAsia" w:ascii="宋体" w:hAnsi="宋体"/>
        </w:rPr>
        <w:t>限计划于202</w:t>
      </w:r>
      <w:r>
        <w:rPr>
          <w:rFonts w:ascii="宋体" w:hAnsi="宋体"/>
        </w:rPr>
        <w:t>6</w:t>
      </w:r>
      <w:r>
        <w:rPr>
          <w:rFonts w:hint="eastAsia" w:ascii="宋体" w:hAnsi="宋体"/>
        </w:rPr>
        <w:t>年5月1日至202</w:t>
      </w:r>
      <w:r>
        <w:rPr>
          <w:rFonts w:ascii="宋体" w:hAnsi="宋体"/>
        </w:rPr>
        <w:t>7</w:t>
      </w:r>
      <w:r>
        <w:rPr>
          <w:rFonts w:hint="eastAsia" w:ascii="宋体" w:hAnsi="宋体"/>
        </w:rPr>
        <w:t>年4月30日前开业的奥特莱斯项目</w:t>
      </w:r>
    </w:p>
    <w:p w14:paraId="6DBDE788">
      <w:pPr>
        <w:spacing w:line="360" w:lineRule="auto"/>
        <w:ind w:left="420" w:leftChars="200"/>
        <w:rPr>
          <w:rFonts w:hint="eastAsia" w:ascii="宋体" w:hAnsi="宋体"/>
        </w:rPr>
      </w:pPr>
      <w:r>
        <w:rPr>
          <w:rFonts w:hint="eastAsia" w:ascii="宋体" w:hAnsi="宋体"/>
        </w:rPr>
        <w:t>无严重延期开业（屡次开业不成功）情况</w:t>
      </w:r>
    </w:p>
    <w:p w14:paraId="29683ADA">
      <w:pPr>
        <w:spacing w:line="360" w:lineRule="auto"/>
        <w:rPr>
          <w:rFonts w:hint="eastAsia" w:ascii="宋体" w:hAnsi="宋体"/>
        </w:rPr>
      </w:pPr>
      <w:r>
        <w:rPr>
          <w:rFonts w:hint="eastAsia" w:ascii="宋体" w:hAnsi="宋体"/>
        </w:rPr>
        <w:t>参选企业资料提交如下</w:t>
      </w:r>
    </w:p>
    <w:p w14:paraId="1EA68D25">
      <w:pPr>
        <w:numPr>
          <w:ilvl w:val="0"/>
          <w:numId w:val="2"/>
        </w:numPr>
        <w:spacing w:line="360" w:lineRule="auto"/>
        <w:rPr>
          <w:rFonts w:hint="eastAsia" w:ascii="宋体" w:hAnsi="宋体"/>
        </w:rPr>
      </w:pPr>
      <w:r>
        <w:rPr>
          <w:rFonts w:hint="eastAsia" w:ascii="宋体" w:hAnsi="宋体"/>
        </w:rPr>
        <w:t>项目具体交通、建筑参数</w:t>
      </w:r>
    </w:p>
    <w:p w14:paraId="76819702">
      <w:pPr>
        <w:numPr>
          <w:ilvl w:val="0"/>
          <w:numId w:val="2"/>
        </w:numPr>
        <w:spacing w:line="360" w:lineRule="auto"/>
        <w:rPr>
          <w:rFonts w:hint="eastAsia" w:ascii="宋体" w:hAnsi="宋体"/>
        </w:rPr>
      </w:pPr>
      <w:r>
        <w:rPr>
          <w:rFonts w:hint="eastAsia" w:ascii="宋体" w:hAnsi="宋体"/>
        </w:rPr>
        <w:t>项目效果图、概规划图</w:t>
      </w:r>
    </w:p>
    <w:p w14:paraId="648B2E5F">
      <w:pPr>
        <w:numPr>
          <w:ilvl w:val="0"/>
          <w:numId w:val="2"/>
        </w:numPr>
        <w:spacing w:line="360" w:lineRule="auto"/>
        <w:rPr>
          <w:rFonts w:hint="eastAsia" w:ascii="宋体" w:hAnsi="宋体"/>
        </w:rPr>
      </w:pPr>
      <w:r>
        <w:rPr>
          <w:rFonts w:hint="eastAsia" w:ascii="宋体" w:hAnsi="宋体"/>
        </w:rPr>
        <w:t>项目建设进度说明</w:t>
      </w:r>
    </w:p>
    <w:p w14:paraId="4A7EDC16">
      <w:pPr>
        <w:numPr>
          <w:ilvl w:val="0"/>
          <w:numId w:val="2"/>
        </w:numPr>
        <w:spacing w:line="360" w:lineRule="auto"/>
        <w:rPr>
          <w:rFonts w:hint="eastAsia" w:ascii="宋体" w:hAnsi="宋体"/>
        </w:rPr>
      </w:pPr>
      <w:r>
        <w:rPr>
          <w:rFonts w:hint="eastAsia" w:ascii="宋体" w:hAnsi="宋体"/>
        </w:rPr>
        <w:t>项目特色说明</w:t>
      </w:r>
    </w:p>
    <w:p w14:paraId="70C16755">
      <w:pPr>
        <w:spacing w:line="360" w:lineRule="auto"/>
        <w:rPr>
          <w:rStyle w:val="17"/>
          <w:rFonts w:ascii="微软雅黑" w:hAnsi="微软雅黑" w:eastAsia="微软雅黑"/>
          <w:color w:val="DAB67A"/>
          <w:spacing w:val="8"/>
        </w:rPr>
      </w:pPr>
    </w:p>
    <w:p w14:paraId="099618BD">
      <w:pPr>
        <w:spacing w:line="360" w:lineRule="auto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B</w:t>
      </w:r>
      <w:r>
        <w:rPr>
          <w:rFonts w:ascii="微软雅黑" w:hAnsi="微软雅黑" w:eastAsia="微软雅黑"/>
          <w:b/>
          <w:szCs w:val="21"/>
        </w:rPr>
        <w:t>5</w:t>
      </w:r>
      <w:r>
        <w:rPr>
          <w:rFonts w:hint="eastAsia" w:asciiTheme="minorEastAsia" w:hAnsiTheme="minorEastAsia" w:eastAsiaTheme="minorEastAsia"/>
          <w:szCs w:val="21"/>
        </w:rPr>
        <w:t xml:space="preserve"> </w:t>
      </w:r>
      <w:r>
        <w:rPr>
          <w:rStyle w:val="17"/>
          <w:rFonts w:hint="eastAsia" w:ascii="微软雅黑" w:hAnsi="微软雅黑" w:eastAsia="微软雅黑"/>
          <w:color w:val="DAB67A"/>
          <w:spacing w:val="8"/>
        </w:rPr>
        <w:t>2025年度中国奥莱优秀品牌</w:t>
      </w:r>
    </w:p>
    <w:p w14:paraId="5E3FB212">
      <w:pPr>
        <w:spacing w:line="360" w:lineRule="auto"/>
        <w:ind w:firstLine="422" w:firstLineChars="200"/>
        <w:rPr>
          <w:rFonts w:asciiTheme="minorEastAsia" w:hAnsiTheme="minorEastAsia" w:eastAsiaTheme="minorEastAsia"/>
          <w:b/>
          <w:szCs w:val="21"/>
        </w:rPr>
      </w:pPr>
      <w:r>
        <w:rPr>
          <w:rFonts w:hint="eastAsia" w:asciiTheme="minorEastAsia" w:hAnsiTheme="minorEastAsia" w:eastAsiaTheme="minorEastAsia"/>
          <w:b/>
          <w:szCs w:val="21"/>
        </w:rPr>
        <w:t>重点考量品牌在全国奥莱业态的销售业绩、与奥莱协同共建的价值，以及全国奥莱推荐度等方面。</w:t>
      </w:r>
    </w:p>
    <w:p w14:paraId="4C9F4B35">
      <w:pPr>
        <w:spacing w:line="360" w:lineRule="auto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参选品牌要求：</w:t>
      </w:r>
    </w:p>
    <w:p w14:paraId="161514F6">
      <w:pPr>
        <w:spacing w:line="360" w:lineRule="auto"/>
        <w:ind w:firstLine="42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全国奥莱门店大于10家</w:t>
      </w:r>
    </w:p>
    <w:p w14:paraId="41D1D9A3">
      <w:pPr>
        <w:spacing w:line="360" w:lineRule="auto"/>
        <w:ind w:firstLine="42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奥莱产品线开拓年限不低于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3</w:t>
      </w:r>
      <w:r>
        <w:rPr>
          <w:rFonts w:hint="eastAsia" w:asciiTheme="minorEastAsia" w:hAnsiTheme="minorEastAsia" w:eastAsiaTheme="minorEastAsia"/>
          <w:szCs w:val="21"/>
        </w:rPr>
        <w:t>年</w:t>
      </w:r>
    </w:p>
    <w:p w14:paraId="2A972BDE">
      <w:pPr>
        <w:spacing w:line="360" w:lineRule="auto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参选品牌资料提交如下</w:t>
      </w:r>
    </w:p>
    <w:p w14:paraId="047A9B79">
      <w:pPr>
        <w:spacing w:line="360" w:lineRule="auto"/>
        <w:ind w:firstLine="42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1.全国奥莱门店列表；</w:t>
      </w:r>
    </w:p>
    <w:p w14:paraId="70427507">
      <w:pPr>
        <w:spacing w:line="360" w:lineRule="auto"/>
        <w:ind w:firstLine="420"/>
        <w:rPr>
          <w:rStyle w:val="17"/>
          <w:rFonts w:hint="eastAsia" w:asciiTheme="minorEastAsia" w:hAnsiTheme="minorEastAsia" w:eastAsiaTheme="minorEastAsia"/>
          <w:b w:val="0"/>
          <w:bCs w:val="0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2.2</w:t>
      </w:r>
      <w:r>
        <w:rPr>
          <w:rFonts w:asciiTheme="minorEastAsia" w:hAnsiTheme="minorEastAsia" w:eastAsiaTheme="minorEastAsia"/>
          <w:szCs w:val="21"/>
        </w:rPr>
        <w:t>025</w:t>
      </w:r>
      <w:r>
        <w:rPr>
          <w:rFonts w:hint="eastAsia" w:asciiTheme="minorEastAsia" w:hAnsiTheme="minorEastAsia" w:eastAsiaTheme="minorEastAsia"/>
          <w:szCs w:val="21"/>
        </w:rPr>
        <w:t>年度全国奥莱销售总额、线上线下各渠道销售额、拓店数量及优质门店年销售（前五）。</w:t>
      </w:r>
    </w:p>
    <w:p w14:paraId="354DF0CD">
      <w:pPr>
        <w:spacing w:line="276" w:lineRule="auto"/>
        <w:jc w:val="center"/>
        <w:rPr>
          <w:rFonts w:ascii="微软雅黑" w:hAnsi="微软雅黑" w:eastAsia="微软雅黑"/>
          <w:b/>
          <w:sz w:val="28"/>
          <w:szCs w:val="28"/>
        </w:rPr>
      </w:pPr>
      <w:r>
        <w:rPr>
          <w:rFonts w:hint="eastAsia" w:ascii="微软雅黑" w:hAnsi="微软雅黑" w:eastAsia="微软雅黑"/>
          <w:b/>
          <w:sz w:val="28"/>
          <w:szCs w:val="28"/>
        </w:rPr>
        <w:t>附件：中国奥莱参评报名表</w:t>
      </w:r>
    </w:p>
    <w:p w14:paraId="0A1BB760">
      <w:pPr>
        <w:spacing w:line="276" w:lineRule="auto"/>
        <w:rPr>
          <w:rFonts w:ascii="微软雅黑" w:hAnsi="微软雅黑" w:eastAsia="微软雅黑"/>
          <w:sz w:val="18"/>
          <w:szCs w:val="18"/>
        </w:rPr>
      </w:pPr>
      <w:r>
        <w:rPr>
          <w:rFonts w:hint="eastAsia" w:ascii="微软雅黑" w:hAnsi="微软雅黑" w:eastAsia="微软雅黑"/>
          <w:sz w:val="18"/>
          <w:szCs w:val="18"/>
        </w:rPr>
        <w:t>数据征集对象：全国存续状态的奥特莱斯项目</w:t>
      </w:r>
    </w:p>
    <w:p w14:paraId="64569B9D">
      <w:pPr>
        <w:spacing w:line="276" w:lineRule="auto"/>
        <w:rPr>
          <w:rFonts w:ascii="微软雅黑" w:hAnsi="微软雅黑" w:eastAsia="微软雅黑"/>
          <w:sz w:val="18"/>
          <w:szCs w:val="18"/>
        </w:rPr>
      </w:pPr>
      <w:r>
        <w:rPr>
          <w:rFonts w:hint="eastAsia" w:ascii="微软雅黑" w:hAnsi="微软雅黑" w:eastAsia="微软雅黑"/>
          <w:sz w:val="18"/>
          <w:szCs w:val="18"/>
        </w:rPr>
        <w:t>数据有效时间：20</w:t>
      </w:r>
      <w:r>
        <w:rPr>
          <w:rFonts w:ascii="微软雅黑" w:hAnsi="微软雅黑" w:eastAsia="微软雅黑"/>
          <w:sz w:val="18"/>
          <w:szCs w:val="18"/>
        </w:rPr>
        <w:t>25</w:t>
      </w:r>
      <w:r>
        <w:rPr>
          <w:rFonts w:hint="eastAsia" w:ascii="微软雅黑" w:hAnsi="微软雅黑" w:eastAsia="微软雅黑"/>
          <w:sz w:val="18"/>
          <w:szCs w:val="18"/>
        </w:rPr>
        <w:t>年1月1日~20</w:t>
      </w:r>
      <w:r>
        <w:rPr>
          <w:rFonts w:ascii="微软雅黑" w:hAnsi="微软雅黑" w:eastAsia="微软雅黑"/>
          <w:sz w:val="18"/>
          <w:szCs w:val="18"/>
        </w:rPr>
        <w:t>25</w:t>
      </w:r>
      <w:r>
        <w:rPr>
          <w:rFonts w:hint="eastAsia" w:ascii="微软雅黑" w:hAnsi="微软雅黑" w:eastAsia="微软雅黑"/>
          <w:sz w:val="18"/>
          <w:szCs w:val="18"/>
        </w:rPr>
        <w:t>年12月31日</w:t>
      </w:r>
    </w:p>
    <w:p w14:paraId="699CC9A6">
      <w:pPr>
        <w:spacing w:line="276" w:lineRule="auto"/>
        <w:rPr>
          <w:rFonts w:ascii="微软雅黑" w:hAnsi="微软雅黑" w:eastAsia="微软雅黑"/>
          <w:sz w:val="18"/>
          <w:szCs w:val="18"/>
        </w:rPr>
      </w:pPr>
    </w:p>
    <w:p w14:paraId="3EF0C98F">
      <w:pPr>
        <w:jc w:val="center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  <w:u w:val="single"/>
        </w:rPr>
        <w:t>202</w:t>
      </w:r>
      <w:r>
        <w:rPr>
          <w:rFonts w:ascii="微软雅黑" w:hAnsi="微软雅黑" w:eastAsia="微软雅黑"/>
          <w:u w:val="single"/>
        </w:rPr>
        <w:t>5</w:t>
      </w:r>
      <w:r>
        <w:rPr>
          <w:rFonts w:hint="eastAsia" w:ascii="微软雅黑" w:hAnsi="微软雅黑" w:eastAsia="微软雅黑"/>
          <w:u w:val="single"/>
        </w:rPr>
        <w:t>年度中国奥特莱斯年度数据征集工作附表</w:t>
      </w:r>
    </w:p>
    <w:p w14:paraId="36714E23">
      <w:pPr>
        <w:jc w:val="left"/>
        <w:rPr>
          <w:rFonts w:ascii="微软雅黑" w:hAnsi="微软雅黑" w:eastAsia="微软雅黑"/>
          <w:u w:val="single"/>
        </w:rPr>
      </w:pPr>
      <w:r>
        <w:rPr>
          <w:rFonts w:ascii="微软雅黑" w:hAnsi="微软雅黑" w:eastAsia="微软雅黑"/>
        </w:rPr>
        <w:t xml:space="preserve">                    </w:t>
      </w:r>
      <w:r>
        <w:rPr>
          <w:rFonts w:ascii="微软雅黑" w:hAnsi="微软雅黑" w:eastAsia="微软雅黑"/>
          <w:u w:val="single"/>
        </w:rPr>
        <w:t xml:space="preserve">                                                   </w:t>
      </w:r>
    </w:p>
    <w:p w14:paraId="33CF70BA">
      <w:pPr>
        <w:jc w:val="center"/>
        <w:rPr>
          <w:rFonts w:ascii="微软雅黑" w:hAnsi="微软雅黑" w:eastAsia="微软雅黑"/>
          <w:sz w:val="14"/>
          <w:szCs w:val="14"/>
        </w:rPr>
      </w:pPr>
      <w:r>
        <w:rPr>
          <w:rFonts w:hint="eastAsia" w:ascii="微软雅黑" w:hAnsi="微软雅黑" w:eastAsia="微软雅黑"/>
          <w:sz w:val="14"/>
          <w:szCs w:val="14"/>
        </w:rPr>
        <w:t>（以上填写投资方或者集团公司全称）</w:t>
      </w:r>
    </w:p>
    <w:tbl>
      <w:tblPr>
        <w:tblStyle w:val="15"/>
        <w:tblW w:w="107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0"/>
        <w:gridCol w:w="955"/>
        <w:gridCol w:w="1654"/>
        <w:gridCol w:w="1391"/>
        <w:gridCol w:w="1553"/>
        <w:gridCol w:w="1271"/>
        <w:gridCol w:w="1554"/>
      </w:tblGrid>
      <w:tr w14:paraId="22D8A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90" w:type="dxa"/>
            <w:vMerge w:val="restart"/>
            <w:vAlign w:val="center"/>
          </w:tcPr>
          <w:p w14:paraId="38246B82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  <w:r>
              <w:rPr>
                <w:rFonts w:hint="eastAsia" w:ascii="微软雅黑" w:hAnsi="微软雅黑" w:eastAsia="微软雅黑"/>
                <w:sz w:val="17"/>
                <w:szCs w:val="17"/>
              </w:rPr>
              <w:t>项目名称</w:t>
            </w:r>
          </w:p>
        </w:tc>
        <w:tc>
          <w:tcPr>
            <w:tcW w:w="955" w:type="dxa"/>
            <w:vMerge w:val="restart"/>
            <w:vAlign w:val="center"/>
          </w:tcPr>
          <w:p w14:paraId="683D2F31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  <w:r>
              <w:rPr>
                <w:rFonts w:hint="eastAsia" w:ascii="微软雅黑" w:hAnsi="微软雅黑" w:eastAsia="微软雅黑"/>
                <w:sz w:val="17"/>
                <w:szCs w:val="17"/>
              </w:rPr>
              <w:t>建筑面积</w:t>
            </w:r>
          </w:p>
        </w:tc>
        <w:tc>
          <w:tcPr>
            <w:tcW w:w="1654" w:type="dxa"/>
            <w:vMerge w:val="restart"/>
            <w:vAlign w:val="center"/>
          </w:tcPr>
          <w:p w14:paraId="0E486A42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  <w:r>
              <w:rPr>
                <w:rFonts w:hint="eastAsia" w:ascii="微软雅黑" w:hAnsi="微软雅黑" w:eastAsia="微软雅黑"/>
                <w:sz w:val="17"/>
                <w:szCs w:val="17"/>
              </w:rPr>
              <w:t>可租赁面积</w:t>
            </w:r>
          </w:p>
          <w:p w14:paraId="0B211855">
            <w:pPr>
              <w:jc w:val="center"/>
              <w:rPr>
                <w:rFonts w:ascii="微软雅黑" w:hAnsi="微软雅黑" w:eastAsia="微软雅黑"/>
                <w:sz w:val="13"/>
                <w:szCs w:val="13"/>
              </w:rPr>
            </w:pPr>
            <w:r>
              <w:rPr>
                <w:rFonts w:hint="eastAsia" w:ascii="微软雅黑" w:hAnsi="微软雅黑" w:eastAsia="微软雅黑"/>
                <w:sz w:val="13"/>
                <w:szCs w:val="13"/>
              </w:rPr>
              <w:t>（含租赁、联营部分）</w:t>
            </w:r>
          </w:p>
        </w:tc>
        <w:tc>
          <w:tcPr>
            <w:tcW w:w="2944" w:type="dxa"/>
            <w:gridSpan w:val="2"/>
            <w:vAlign w:val="center"/>
          </w:tcPr>
          <w:p w14:paraId="0FAF2AC1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  <w:r>
              <w:rPr>
                <w:rFonts w:ascii="微软雅黑" w:hAnsi="微软雅黑" w:eastAsia="微软雅黑"/>
                <w:sz w:val="17"/>
                <w:szCs w:val="17"/>
              </w:rPr>
              <w:t>2024</w:t>
            </w:r>
          </w:p>
        </w:tc>
        <w:tc>
          <w:tcPr>
            <w:tcW w:w="2825" w:type="dxa"/>
            <w:gridSpan w:val="2"/>
            <w:vAlign w:val="center"/>
          </w:tcPr>
          <w:p w14:paraId="4E07F897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  <w:r>
              <w:rPr>
                <w:rFonts w:ascii="微软雅黑" w:hAnsi="微软雅黑" w:eastAsia="微软雅黑"/>
                <w:sz w:val="17"/>
                <w:szCs w:val="17"/>
              </w:rPr>
              <w:t>2025</w:t>
            </w:r>
          </w:p>
        </w:tc>
      </w:tr>
      <w:tr w14:paraId="47437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90" w:type="dxa"/>
            <w:vMerge w:val="continue"/>
            <w:vAlign w:val="center"/>
          </w:tcPr>
          <w:p w14:paraId="6CAB23DD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955" w:type="dxa"/>
            <w:vMerge w:val="continue"/>
            <w:vAlign w:val="center"/>
          </w:tcPr>
          <w:p w14:paraId="7C8BC9CC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654" w:type="dxa"/>
            <w:vMerge w:val="continue"/>
            <w:vAlign w:val="center"/>
          </w:tcPr>
          <w:p w14:paraId="19C98256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391" w:type="dxa"/>
            <w:vAlign w:val="center"/>
          </w:tcPr>
          <w:p w14:paraId="6299CE05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  <w:r>
              <w:rPr>
                <w:rFonts w:hint="eastAsia" w:ascii="微软雅黑" w:hAnsi="微软雅黑" w:eastAsia="微软雅黑"/>
                <w:sz w:val="17"/>
                <w:szCs w:val="17"/>
              </w:rPr>
              <w:t>全年销售业绩</w:t>
            </w:r>
          </w:p>
        </w:tc>
        <w:tc>
          <w:tcPr>
            <w:tcW w:w="1553" w:type="dxa"/>
            <w:vAlign w:val="center"/>
          </w:tcPr>
          <w:p w14:paraId="4181792C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  <w:r>
              <w:rPr>
                <w:rFonts w:hint="eastAsia" w:ascii="微软雅黑" w:hAnsi="微软雅黑" w:eastAsia="微软雅黑"/>
                <w:sz w:val="17"/>
                <w:szCs w:val="17"/>
              </w:rPr>
              <w:t>增幅（较202</w:t>
            </w:r>
            <w:r>
              <w:rPr>
                <w:rFonts w:ascii="微软雅黑" w:hAnsi="微软雅黑" w:eastAsia="微软雅黑"/>
                <w:sz w:val="17"/>
                <w:szCs w:val="17"/>
              </w:rPr>
              <w:t>3</w:t>
            </w:r>
            <w:r>
              <w:rPr>
                <w:rFonts w:hint="eastAsia" w:ascii="微软雅黑" w:hAnsi="微软雅黑" w:eastAsia="微软雅黑"/>
                <w:sz w:val="17"/>
                <w:szCs w:val="17"/>
              </w:rPr>
              <w:t>）</w:t>
            </w:r>
          </w:p>
        </w:tc>
        <w:tc>
          <w:tcPr>
            <w:tcW w:w="1271" w:type="dxa"/>
            <w:vAlign w:val="center"/>
          </w:tcPr>
          <w:p w14:paraId="1F126148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  <w:r>
              <w:rPr>
                <w:rFonts w:hint="eastAsia" w:ascii="微软雅黑" w:hAnsi="微软雅黑" w:eastAsia="微软雅黑"/>
                <w:sz w:val="17"/>
                <w:szCs w:val="17"/>
              </w:rPr>
              <w:t>全年销售业绩</w:t>
            </w:r>
          </w:p>
        </w:tc>
        <w:tc>
          <w:tcPr>
            <w:tcW w:w="1554" w:type="dxa"/>
            <w:vAlign w:val="center"/>
          </w:tcPr>
          <w:p w14:paraId="1F2AC7E6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  <w:r>
              <w:rPr>
                <w:rFonts w:hint="eastAsia" w:ascii="微软雅黑" w:hAnsi="微软雅黑" w:eastAsia="微软雅黑"/>
                <w:sz w:val="17"/>
                <w:szCs w:val="17"/>
              </w:rPr>
              <w:t>增幅（较20</w:t>
            </w:r>
            <w:r>
              <w:rPr>
                <w:rFonts w:ascii="微软雅黑" w:hAnsi="微软雅黑" w:eastAsia="微软雅黑"/>
                <w:sz w:val="17"/>
                <w:szCs w:val="17"/>
              </w:rPr>
              <w:t>24</w:t>
            </w:r>
            <w:r>
              <w:rPr>
                <w:rFonts w:hint="eastAsia" w:ascii="微软雅黑" w:hAnsi="微软雅黑" w:eastAsia="微软雅黑"/>
                <w:sz w:val="17"/>
                <w:szCs w:val="17"/>
              </w:rPr>
              <w:t>）</w:t>
            </w:r>
          </w:p>
        </w:tc>
      </w:tr>
      <w:tr w14:paraId="02B1B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90" w:type="dxa"/>
            <w:vAlign w:val="center"/>
          </w:tcPr>
          <w:p w14:paraId="01B7E6B8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955" w:type="dxa"/>
            <w:vAlign w:val="center"/>
          </w:tcPr>
          <w:p w14:paraId="071AE4A8">
            <w:pPr>
              <w:rPr>
                <w:rFonts w:ascii="Batang" w:hAnsi="Batang" w:cs="Batang" w:eastAsiaTheme="minorEastAsia"/>
                <w:sz w:val="17"/>
                <w:szCs w:val="17"/>
              </w:rPr>
            </w:pPr>
          </w:p>
        </w:tc>
        <w:tc>
          <w:tcPr>
            <w:tcW w:w="1654" w:type="dxa"/>
            <w:vAlign w:val="center"/>
          </w:tcPr>
          <w:p w14:paraId="2DC2C346">
            <w:pPr>
              <w:jc w:val="center"/>
              <w:rPr>
                <w:rFonts w:ascii="Batang" w:hAnsi="Batang" w:cs="Batang" w:eastAsiaTheme="minorEastAsia"/>
                <w:sz w:val="17"/>
                <w:szCs w:val="17"/>
              </w:rPr>
            </w:pPr>
          </w:p>
        </w:tc>
        <w:tc>
          <w:tcPr>
            <w:tcW w:w="1391" w:type="dxa"/>
            <w:vAlign w:val="center"/>
          </w:tcPr>
          <w:p w14:paraId="23CA0E6B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553" w:type="dxa"/>
            <w:vAlign w:val="center"/>
          </w:tcPr>
          <w:p w14:paraId="1997D9BB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271" w:type="dxa"/>
            <w:vAlign w:val="center"/>
          </w:tcPr>
          <w:p w14:paraId="71889543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554" w:type="dxa"/>
            <w:vAlign w:val="center"/>
          </w:tcPr>
          <w:p w14:paraId="1FD327FC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</w:tr>
      <w:tr w14:paraId="0BD65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90" w:type="dxa"/>
            <w:vAlign w:val="center"/>
          </w:tcPr>
          <w:p w14:paraId="776D2623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955" w:type="dxa"/>
            <w:vAlign w:val="center"/>
          </w:tcPr>
          <w:p w14:paraId="315D00A2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654" w:type="dxa"/>
            <w:vAlign w:val="center"/>
          </w:tcPr>
          <w:p w14:paraId="57EE1141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391" w:type="dxa"/>
            <w:vAlign w:val="center"/>
          </w:tcPr>
          <w:p w14:paraId="6318D29D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553" w:type="dxa"/>
            <w:vAlign w:val="center"/>
          </w:tcPr>
          <w:p w14:paraId="4A54AF5F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271" w:type="dxa"/>
            <w:vAlign w:val="center"/>
          </w:tcPr>
          <w:p w14:paraId="2DD89D4A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554" w:type="dxa"/>
            <w:vAlign w:val="center"/>
          </w:tcPr>
          <w:p w14:paraId="6A16E830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</w:tr>
      <w:tr w14:paraId="7DAC9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90" w:type="dxa"/>
            <w:vAlign w:val="center"/>
          </w:tcPr>
          <w:p w14:paraId="39E669B7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955" w:type="dxa"/>
            <w:vAlign w:val="center"/>
          </w:tcPr>
          <w:p w14:paraId="577254C4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654" w:type="dxa"/>
            <w:vAlign w:val="center"/>
          </w:tcPr>
          <w:p w14:paraId="582AC163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391" w:type="dxa"/>
            <w:vAlign w:val="center"/>
          </w:tcPr>
          <w:p w14:paraId="7B49D92A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553" w:type="dxa"/>
            <w:vAlign w:val="center"/>
          </w:tcPr>
          <w:p w14:paraId="5B1D172B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271" w:type="dxa"/>
            <w:vAlign w:val="center"/>
          </w:tcPr>
          <w:p w14:paraId="060EB0A7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554" w:type="dxa"/>
            <w:vAlign w:val="center"/>
          </w:tcPr>
          <w:p w14:paraId="7C9BBCF3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</w:tr>
      <w:tr w14:paraId="0D95C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90" w:type="dxa"/>
            <w:vAlign w:val="center"/>
          </w:tcPr>
          <w:p w14:paraId="624F478E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955" w:type="dxa"/>
            <w:vAlign w:val="center"/>
          </w:tcPr>
          <w:p w14:paraId="1678F92A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654" w:type="dxa"/>
            <w:vAlign w:val="center"/>
          </w:tcPr>
          <w:p w14:paraId="39FB8D49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391" w:type="dxa"/>
            <w:vAlign w:val="center"/>
          </w:tcPr>
          <w:p w14:paraId="0267F8DF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553" w:type="dxa"/>
            <w:vAlign w:val="center"/>
          </w:tcPr>
          <w:p w14:paraId="69C34432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271" w:type="dxa"/>
            <w:vAlign w:val="center"/>
          </w:tcPr>
          <w:p w14:paraId="031C336C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554" w:type="dxa"/>
            <w:vAlign w:val="center"/>
          </w:tcPr>
          <w:p w14:paraId="6BED6703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</w:tr>
      <w:tr w14:paraId="635AB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90" w:type="dxa"/>
            <w:vAlign w:val="center"/>
          </w:tcPr>
          <w:p w14:paraId="452B1DC9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955" w:type="dxa"/>
            <w:vAlign w:val="center"/>
          </w:tcPr>
          <w:p w14:paraId="22228D06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654" w:type="dxa"/>
            <w:vAlign w:val="center"/>
          </w:tcPr>
          <w:p w14:paraId="2288F354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391" w:type="dxa"/>
            <w:vAlign w:val="center"/>
          </w:tcPr>
          <w:p w14:paraId="7AEB9050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553" w:type="dxa"/>
            <w:vAlign w:val="center"/>
          </w:tcPr>
          <w:p w14:paraId="3A0C531C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271" w:type="dxa"/>
            <w:vAlign w:val="center"/>
          </w:tcPr>
          <w:p w14:paraId="05DD315E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554" w:type="dxa"/>
            <w:vAlign w:val="center"/>
          </w:tcPr>
          <w:p w14:paraId="11BB8E9C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</w:tr>
      <w:tr w14:paraId="4B5BF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90" w:type="dxa"/>
            <w:vAlign w:val="center"/>
          </w:tcPr>
          <w:p w14:paraId="2A43AE33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  <w:r>
              <w:rPr>
                <w:rFonts w:hint="eastAsia" w:ascii="微软雅黑" w:hAnsi="微软雅黑" w:eastAsia="微软雅黑"/>
                <w:sz w:val="17"/>
                <w:szCs w:val="17"/>
              </w:rPr>
              <w:t>总计</w:t>
            </w:r>
          </w:p>
        </w:tc>
        <w:tc>
          <w:tcPr>
            <w:tcW w:w="955" w:type="dxa"/>
            <w:vAlign w:val="center"/>
          </w:tcPr>
          <w:p w14:paraId="017EA709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654" w:type="dxa"/>
            <w:vAlign w:val="center"/>
          </w:tcPr>
          <w:p w14:paraId="72DAA2D6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391" w:type="dxa"/>
            <w:vAlign w:val="center"/>
          </w:tcPr>
          <w:p w14:paraId="48A5F024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553" w:type="dxa"/>
            <w:vAlign w:val="center"/>
          </w:tcPr>
          <w:p w14:paraId="20FA78F6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271" w:type="dxa"/>
            <w:vAlign w:val="center"/>
          </w:tcPr>
          <w:p w14:paraId="43FF2DB7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1554" w:type="dxa"/>
            <w:vAlign w:val="center"/>
          </w:tcPr>
          <w:p w14:paraId="2F898FBC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</w:tr>
    </w:tbl>
    <w:tbl>
      <w:tblPr>
        <w:tblStyle w:val="15"/>
        <w:tblpPr w:leftFromText="180" w:rightFromText="180" w:vertAnchor="text" w:horzAnchor="page" w:tblpX="567" w:tblpY="292"/>
        <w:tblW w:w="107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0"/>
        <w:gridCol w:w="2150"/>
        <w:gridCol w:w="2151"/>
        <w:gridCol w:w="2150"/>
        <w:gridCol w:w="2152"/>
      </w:tblGrid>
      <w:tr w14:paraId="396A4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2150" w:type="dxa"/>
            <w:vMerge w:val="restart"/>
          </w:tcPr>
          <w:p w14:paraId="227A2500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  <w:r>
              <w:rPr>
                <w:rFonts w:hint="eastAsia" w:ascii="微软雅黑" w:hAnsi="微软雅黑" w:eastAsia="微软雅黑"/>
                <w:sz w:val="17"/>
                <w:szCs w:val="17"/>
              </w:rPr>
              <w:t>项目名称</w:t>
            </w:r>
          </w:p>
        </w:tc>
        <w:tc>
          <w:tcPr>
            <w:tcW w:w="4301" w:type="dxa"/>
            <w:gridSpan w:val="2"/>
          </w:tcPr>
          <w:p w14:paraId="42EA3E07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  <w:r>
              <w:rPr>
                <w:rFonts w:hint="eastAsia" w:ascii="微软雅黑" w:hAnsi="微软雅黑" w:eastAsia="微软雅黑"/>
                <w:sz w:val="17"/>
                <w:szCs w:val="17"/>
              </w:rPr>
              <w:t>20</w:t>
            </w:r>
            <w:r>
              <w:rPr>
                <w:rFonts w:ascii="微软雅黑" w:hAnsi="微软雅黑" w:eastAsia="微软雅黑"/>
                <w:sz w:val="17"/>
                <w:szCs w:val="17"/>
              </w:rPr>
              <w:t>24</w:t>
            </w:r>
          </w:p>
        </w:tc>
        <w:tc>
          <w:tcPr>
            <w:tcW w:w="4302" w:type="dxa"/>
            <w:gridSpan w:val="2"/>
          </w:tcPr>
          <w:p w14:paraId="2F5A61E5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  <w:r>
              <w:rPr>
                <w:rFonts w:ascii="微软雅黑" w:hAnsi="微软雅黑" w:eastAsia="微软雅黑"/>
                <w:sz w:val="17"/>
                <w:szCs w:val="17"/>
              </w:rPr>
              <w:t>2025</w:t>
            </w:r>
          </w:p>
        </w:tc>
      </w:tr>
      <w:tr w14:paraId="7A407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2150" w:type="dxa"/>
            <w:vMerge w:val="continue"/>
          </w:tcPr>
          <w:p w14:paraId="3E741720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2150" w:type="dxa"/>
          </w:tcPr>
          <w:p w14:paraId="06A80D21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  <w:r>
              <w:rPr>
                <w:rFonts w:hint="eastAsia" w:ascii="微软雅黑" w:hAnsi="微软雅黑" w:eastAsia="微软雅黑"/>
                <w:sz w:val="17"/>
                <w:szCs w:val="17"/>
              </w:rPr>
              <w:t>全年客流</w:t>
            </w:r>
          </w:p>
        </w:tc>
        <w:tc>
          <w:tcPr>
            <w:tcW w:w="2151" w:type="dxa"/>
          </w:tcPr>
          <w:p w14:paraId="780C710B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  <w:r>
              <w:rPr>
                <w:rFonts w:hint="eastAsia" w:ascii="微软雅黑" w:hAnsi="微软雅黑" w:eastAsia="微软雅黑"/>
                <w:sz w:val="17"/>
                <w:szCs w:val="17"/>
              </w:rPr>
              <w:t>增幅（较202</w:t>
            </w:r>
            <w:r>
              <w:rPr>
                <w:rFonts w:ascii="微软雅黑" w:hAnsi="微软雅黑" w:eastAsia="微软雅黑"/>
                <w:sz w:val="17"/>
                <w:szCs w:val="17"/>
              </w:rPr>
              <w:t>3</w:t>
            </w:r>
            <w:r>
              <w:rPr>
                <w:rFonts w:hint="eastAsia" w:ascii="微软雅黑" w:hAnsi="微软雅黑" w:eastAsia="微软雅黑"/>
                <w:sz w:val="17"/>
                <w:szCs w:val="17"/>
              </w:rPr>
              <w:t>）</w:t>
            </w:r>
          </w:p>
        </w:tc>
        <w:tc>
          <w:tcPr>
            <w:tcW w:w="2150" w:type="dxa"/>
          </w:tcPr>
          <w:p w14:paraId="1059ACD5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  <w:r>
              <w:rPr>
                <w:rFonts w:hint="eastAsia" w:ascii="微软雅黑" w:hAnsi="微软雅黑" w:eastAsia="微软雅黑"/>
                <w:sz w:val="17"/>
                <w:szCs w:val="17"/>
              </w:rPr>
              <w:t>全年客流</w:t>
            </w:r>
          </w:p>
        </w:tc>
        <w:tc>
          <w:tcPr>
            <w:tcW w:w="2152" w:type="dxa"/>
          </w:tcPr>
          <w:p w14:paraId="5B482857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  <w:r>
              <w:rPr>
                <w:rFonts w:hint="eastAsia" w:ascii="微软雅黑" w:hAnsi="微软雅黑" w:eastAsia="微软雅黑"/>
                <w:sz w:val="17"/>
                <w:szCs w:val="17"/>
              </w:rPr>
              <w:t>增幅（较20</w:t>
            </w:r>
            <w:r>
              <w:rPr>
                <w:rFonts w:ascii="微软雅黑" w:hAnsi="微软雅黑" w:eastAsia="微软雅黑"/>
                <w:sz w:val="17"/>
                <w:szCs w:val="17"/>
              </w:rPr>
              <w:t>24</w:t>
            </w:r>
            <w:r>
              <w:rPr>
                <w:rFonts w:hint="eastAsia" w:ascii="微软雅黑" w:hAnsi="微软雅黑" w:eastAsia="微软雅黑"/>
                <w:sz w:val="17"/>
                <w:szCs w:val="17"/>
              </w:rPr>
              <w:t>）</w:t>
            </w:r>
          </w:p>
        </w:tc>
      </w:tr>
      <w:tr w14:paraId="654A6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2150" w:type="dxa"/>
          </w:tcPr>
          <w:p w14:paraId="172CC625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2150" w:type="dxa"/>
          </w:tcPr>
          <w:p w14:paraId="2BBA3E74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2151" w:type="dxa"/>
          </w:tcPr>
          <w:p w14:paraId="22FAA6C8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2150" w:type="dxa"/>
          </w:tcPr>
          <w:p w14:paraId="04DD1ACE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2152" w:type="dxa"/>
          </w:tcPr>
          <w:p w14:paraId="315A03A3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</w:tr>
      <w:tr w14:paraId="05667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2" w:hRule="atLeast"/>
        </w:trPr>
        <w:tc>
          <w:tcPr>
            <w:tcW w:w="2150" w:type="dxa"/>
          </w:tcPr>
          <w:p w14:paraId="71E746AB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2150" w:type="dxa"/>
          </w:tcPr>
          <w:p w14:paraId="508EFF56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2151" w:type="dxa"/>
          </w:tcPr>
          <w:p w14:paraId="18E671C4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2150" w:type="dxa"/>
          </w:tcPr>
          <w:p w14:paraId="5BA738C7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2152" w:type="dxa"/>
          </w:tcPr>
          <w:p w14:paraId="393A1C8F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</w:tr>
      <w:tr w14:paraId="7A35A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2150" w:type="dxa"/>
            <w:vAlign w:val="center"/>
          </w:tcPr>
          <w:p w14:paraId="4677BDED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2150" w:type="dxa"/>
            <w:vAlign w:val="center"/>
          </w:tcPr>
          <w:p w14:paraId="7ABE025D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2151" w:type="dxa"/>
            <w:vAlign w:val="center"/>
          </w:tcPr>
          <w:p w14:paraId="666D9EBF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2150" w:type="dxa"/>
            <w:vAlign w:val="center"/>
          </w:tcPr>
          <w:p w14:paraId="166FF40F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2152" w:type="dxa"/>
            <w:vAlign w:val="center"/>
          </w:tcPr>
          <w:p w14:paraId="5FF2A1CA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</w:tr>
      <w:tr w14:paraId="1558A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2" w:hRule="atLeast"/>
        </w:trPr>
        <w:tc>
          <w:tcPr>
            <w:tcW w:w="2150" w:type="dxa"/>
            <w:vAlign w:val="center"/>
          </w:tcPr>
          <w:p w14:paraId="766F0019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2150" w:type="dxa"/>
            <w:vAlign w:val="center"/>
          </w:tcPr>
          <w:p w14:paraId="1B63C3C8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2151" w:type="dxa"/>
            <w:vAlign w:val="center"/>
          </w:tcPr>
          <w:p w14:paraId="5D5A9D81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2150" w:type="dxa"/>
            <w:vAlign w:val="center"/>
          </w:tcPr>
          <w:p w14:paraId="7859537F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2152" w:type="dxa"/>
            <w:vAlign w:val="center"/>
          </w:tcPr>
          <w:p w14:paraId="15E53616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</w:tr>
      <w:tr w14:paraId="5A283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2150" w:type="dxa"/>
          </w:tcPr>
          <w:p w14:paraId="04670D37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  <w:r>
              <w:rPr>
                <w:rFonts w:hint="eastAsia" w:ascii="微软雅黑" w:hAnsi="微软雅黑" w:eastAsia="微软雅黑"/>
                <w:sz w:val="17"/>
                <w:szCs w:val="17"/>
              </w:rPr>
              <w:t>总计</w:t>
            </w:r>
          </w:p>
        </w:tc>
        <w:tc>
          <w:tcPr>
            <w:tcW w:w="2150" w:type="dxa"/>
          </w:tcPr>
          <w:p w14:paraId="0072BC71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2151" w:type="dxa"/>
          </w:tcPr>
          <w:p w14:paraId="4CB3FD23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2150" w:type="dxa"/>
          </w:tcPr>
          <w:p w14:paraId="30030980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  <w:tc>
          <w:tcPr>
            <w:tcW w:w="2152" w:type="dxa"/>
          </w:tcPr>
          <w:p w14:paraId="7F903402">
            <w:pPr>
              <w:jc w:val="center"/>
              <w:rPr>
                <w:rFonts w:ascii="微软雅黑" w:hAnsi="微软雅黑" w:eastAsia="微软雅黑"/>
                <w:sz w:val="17"/>
                <w:szCs w:val="17"/>
              </w:rPr>
            </w:pPr>
          </w:p>
        </w:tc>
      </w:tr>
    </w:tbl>
    <w:p w14:paraId="552BB223">
      <w:pPr>
        <w:ind w:right="1020"/>
        <w:rPr>
          <w:rFonts w:asciiTheme="minorEastAsia" w:hAnsiTheme="minorEastAsia" w:eastAsiaTheme="minorEastAsia"/>
          <w:szCs w:val="21"/>
        </w:rPr>
      </w:pPr>
      <w:r>
        <w:rPr>
          <w:rFonts w:hint="eastAsia" w:ascii="微软雅黑" w:hAnsi="微软雅黑" w:eastAsia="微软雅黑"/>
          <w:sz w:val="17"/>
          <w:szCs w:val="17"/>
        </w:rPr>
        <w:t>上述表格为面向各奥莱上属公司统一发放，如表单不够，可以自行添加行段。</w:t>
      </w:r>
    </w:p>
    <w:p w14:paraId="085DD1C5">
      <w:pPr>
        <w:widowControl/>
        <w:pBdr>
          <w:bottom w:val="single" w:color="auto" w:sz="4" w:space="0"/>
        </w:pBdr>
        <w:jc w:val="left"/>
        <w:rPr>
          <w:rFonts w:asciiTheme="minorEastAsia" w:hAnsiTheme="minorEastAsia" w:eastAsiaTheme="minorEastAsia"/>
          <w:szCs w:val="21"/>
        </w:rPr>
      </w:pPr>
    </w:p>
    <w:p w14:paraId="12451902">
      <w:pPr>
        <w:pStyle w:val="28"/>
        <w:spacing w:line="360" w:lineRule="auto"/>
        <w:ind w:firstLine="0" w:firstLineChars="0"/>
        <w:rPr>
          <w:rFonts w:asciiTheme="minorEastAsia" w:hAnsiTheme="minorEastAsia" w:eastAsiaTheme="minorEastAsia"/>
          <w:sz w:val="21"/>
          <w:szCs w:val="21"/>
        </w:rPr>
      </w:pPr>
    </w:p>
    <w:p w14:paraId="7FDD1C2B">
      <w:pPr>
        <w:pStyle w:val="28"/>
        <w:spacing w:line="360" w:lineRule="auto"/>
        <w:ind w:firstLine="0" w:firstLineChars="0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（以上奖项参评申报请按要求整理，详细资料由参选单位提供盖章确认）</w:t>
      </w:r>
    </w:p>
    <w:p w14:paraId="608E9189">
      <w:pPr>
        <w:spacing w:line="360" w:lineRule="auto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资料接收邮箱：zzk</w:t>
      </w:r>
      <w:r>
        <w:rPr>
          <w:rFonts w:asciiTheme="minorEastAsia" w:hAnsiTheme="minorEastAsia" w:eastAsiaTheme="minorEastAsia"/>
          <w:szCs w:val="21"/>
        </w:rPr>
        <w:t>@</w:t>
      </w:r>
      <w:r>
        <w:rPr>
          <w:rFonts w:hint="eastAsia" w:asciiTheme="minorEastAsia" w:hAnsiTheme="minorEastAsia" w:eastAsiaTheme="minorEastAsia"/>
          <w:szCs w:val="21"/>
        </w:rPr>
        <w:t>outletscn</w:t>
      </w:r>
      <w:r>
        <w:rPr>
          <w:rFonts w:asciiTheme="minorEastAsia" w:hAnsiTheme="minorEastAsia" w:eastAsiaTheme="minorEastAsia"/>
          <w:szCs w:val="21"/>
        </w:rPr>
        <w:t>.</w:t>
      </w:r>
      <w:r>
        <w:rPr>
          <w:rFonts w:hint="eastAsia" w:asciiTheme="minorEastAsia" w:hAnsiTheme="minorEastAsia" w:eastAsiaTheme="minorEastAsia"/>
          <w:szCs w:val="21"/>
        </w:rPr>
        <w:t>com</w:t>
      </w:r>
      <w:r>
        <w:rPr>
          <w:rFonts w:asciiTheme="minorEastAsia" w:hAnsiTheme="minorEastAsia" w:eastAsiaTheme="minorEastAsia"/>
          <w:szCs w:val="21"/>
        </w:rPr>
        <w:t xml:space="preserve"> </w:t>
      </w:r>
    </w:p>
    <w:p w14:paraId="58720E9B">
      <w:pPr>
        <w:spacing w:line="360" w:lineRule="auto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参评咨询：1</w:t>
      </w:r>
      <w:r>
        <w:rPr>
          <w:rFonts w:asciiTheme="minorEastAsia" w:hAnsiTheme="minorEastAsia" w:eastAsiaTheme="minorEastAsia"/>
          <w:szCs w:val="21"/>
        </w:rPr>
        <w:t>8675830500</w:t>
      </w:r>
      <w:r>
        <w:rPr>
          <w:rFonts w:hint="eastAsia" w:asciiTheme="minorEastAsia" w:hAnsiTheme="minorEastAsia" w:eastAsiaTheme="minorEastAsia"/>
          <w:szCs w:val="21"/>
        </w:rPr>
        <w:t>、</w:t>
      </w:r>
      <w:r>
        <w:rPr>
          <w:rFonts w:asciiTheme="minorEastAsia" w:hAnsiTheme="minorEastAsia" w:eastAsiaTheme="minorEastAsia"/>
          <w:szCs w:val="21"/>
        </w:rPr>
        <w:t>18502011185</w:t>
      </w:r>
    </w:p>
    <w:p w14:paraId="2AA74858">
      <w:pPr>
        <w:spacing w:line="360" w:lineRule="auto"/>
        <w:jc w:val="right"/>
        <w:rPr>
          <w:rFonts w:asciiTheme="minorEastAsia" w:hAnsiTheme="minorEastAsia" w:eastAsiaTheme="minorEastAsia"/>
          <w:b/>
          <w:szCs w:val="21"/>
        </w:rPr>
      </w:pPr>
      <w:r>
        <w:rPr>
          <w:rFonts w:hint="eastAsia" w:asciiTheme="minorEastAsia" w:hAnsiTheme="minorEastAsia" w:eastAsiaTheme="minorEastAsia"/>
          <w:b/>
          <w:szCs w:val="21"/>
        </w:rPr>
        <w:t>第1</w:t>
      </w:r>
      <w:r>
        <w:rPr>
          <w:rFonts w:asciiTheme="minorEastAsia" w:hAnsiTheme="minorEastAsia" w:eastAsiaTheme="minorEastAsia"/>
          <w:b/>
          <w:szCs w:val="21"/>
        </w:rPr>
        <w:t>3</w:t>
      </w:r>
      <w:r>
        <w:rPr>
          <w:rFonts w:hint="eastAsia" w:asciiTheme="minorEastAsia" w:hAnsiTheme="minorEastAsia" w:eastAsiaTheme="minorEastAsia"/>
          <w:b/>
          <w:szCs w:val="21"/>
        </w:rPr>
        <w:t>届奥莱领秀峰会</w:t>
      </w:r>
      <w:r>
        <w:rPr>
          <w:rFonts w:hint="eastAsia" w:asciiTheme="minorEastAsia" w:hAnsiTheme="minorEastAsia" w:eastAsiaTheme="minorEastAsia"/>
          <w:b/>
          <w:szCs w:val="21"/>
        </w:rPr>
        <w:br w:type="textWrapping"/>
      </w:r>
      <w:r>
        <w:rPr>
          <w:rFonts w:hint="eastAsia" w:asciiTheme="minorEastAsia" w:hAnsiTheme="minorEastAsia" w:eastAsiaTheme="minorEastAsia"/>
          <w:b/>
          <w:szCs w:val="21"/>
        </w:rPr>
        <w:t>2</w:t>
      </w:r>
      <w:r>
        <w:rPr>
          <w:rFonts w:asciiTheme="minorEastAsia" w:hAnsiTheme="minorEastAsia" w:eastAsiaTheme="minorEastAsia"/>
          <w:b/>
          <w:szCs w:val="21"/>
        </w:rPr>
        <w:t>025</w:t>
      </w:r>
      <w:r>
        <w:rPr>
          <w:rFonts w:hint="eastAsia" w:asciiTheme="minorEastAsia" w:hAnsiTheme="minorEastAsia" w:eastAsiaTheme="minorEastAsia"/>
          <w:b/>
          <w:szCs w:val="21"/>
        </w:rPr>
        <w:t>年度中国奥莱颁奖盛典</w:t>
      </w:r>
    </w:p>
    <w:p w14:paraId="6E8F315B">
      <w:pPr>
        <w:spacing w:line="360" w:lineRule="auto"/>
        <w:jc w:val="right"/>
        <w:rPr>
          <w:rFonts w:asciiTheme="minorEastAsia" w:hAnsiTheme="minorEastAsia" w:eastAsiaTheme="minorEastAsia"/>
          <w:b/>
          <w:szCs w:val="21"/>
        </w:rPr>
      </w:pPr>
      <w:r>
        <w:rPr>
          <w:rFonts w:hint="eastAsia" w:asciiTheme="minorEastAsia" w:hAnsiTheme="minorEastAsia" w:eastAsiaTheme="minorEastAsia"/>
          <w:b/>
          <w:szCs w:val="21"/>
        </w:rPr>
        <w:t>组委会</w:t>
      </w:r>
    </w:p>
    <w:p w14:paraId="066564A7">
      <w:pPr>
        <w:spacing w:line="360" w:lineRule="auto"/>
        <w:jc w:val="right"/>
        <w:rPr>
          <w:rFonts w:ascii="微软雅黑" w:hAnsi="微软雅黑" w:eastAsia="微软雅黑"/>
          <w:b/>
          <w:bCs/>
          <w:color w:val="DAB67A"/>
          <w:spacing w:val="8"/>
          <w:sz w:val="15"/>
          <w:szCs w:val="15"/>
        </w:rPr>
      </w:pPr>
      <w:r>
        <w:rPr>
          <w:rFonts w:hint="eastAsia" w:asciiTheme="minorEastAsia" w:hAnsiTheme="minorEastAsia" w:eastAsiaTheme="minorEastAsia"/>
          <w:b/>
          <w:szCs w:val="21"/>
        </w:rPr>
        <w:t>二0二六年五月</w:t>
      </w:r>
    </w:p>
    <w:sectPr>
      <w:headerReference r:id="rId3" w:type="default"/>
      <w:footerReference r:id="rId4" w:type="default"/>
      <w:pgSz w:w="11906" w:h="16838"/>
      <w:pgMar w:top="1440" w:right="1077" w:bottom="1440" w:left="1077" w:header="680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FB565">
    <w:pPr>
      <w:pStyle w:val="11"/>
      <w:jc w:val="center"/>
      <w:rPr>
        <w:rFonts w:ascii="微软雅黑" w:hAnsi="微软雅黑" w:eastAsia="微软雅黑"/>
        <w:b/>
      </w:rPr>
    </w:pPr>
    <w:r>
      <w:rPr>
        <w:rFonts w:hint="eastAsia" w:ascii="微软雅黑" w:hAnsi="微软雅黑" w:eastAsia="微软雅黑"/>
        <w:b/>
      </w:rPr>
      <w:t>第1</w:t>
    </w:r>
    <w:r>
      <w:rPr>
        <w:rFonts w:ascii="微软雅黑" w:hAnsi="微软雅黑" w:eastAsia="微软雅黑"/>
        <w:b/>
      </w:rPr>
      <w:t>3</w:t>
    </w:r>
    <w:r>
      <w:rPr>
        <w:rFonts w:hint="eastAsia" w:ascii="微软雅黑" w:hAnsi="微软雅黑" w:eastAsia="微软雅黑"/>
        <w:b/>
      </w:rPr>
      <w:t>届奥莱领秀峰会</w:t>
    </w:r>
  </w:p>
  <w:p w14:paraId="450EDA27">
    <w:pPr>
      <w:pStyle w:val="11"/>
      <w:jc w:val="center"/>
      <w:rPr>
        <w:rFonts w:ascii="微软雅黑" w:hAnsi="微软雅黑" w:eastAsia="微软雅黑"/>
        <w:b/>
      </w:rPr>
    </w:pPr>
    <w:r>
      <w:rPr>
        <w:rFonts w:hint="eastAsia" w:ascii="微软雅黑" w:hAnsi="微软雅黑" w:eastAsia="微软雅黑"/>
        <w:b/>
      </w:rPr>
      <w:t>2</w:t>
    </w:r>
    <w:r>
      <w:rPr>
        <w:rFonts w:ascii="微软雅黑" w:hAnsi="微软雅黑" w:eastAsia="微软雅黑"/>
        <w:b/>
      </w:rPr>
      <w:t>025</w:t>
    </w:r>
    <w:r>
      <w:rPr>
        <w:rFonts w:hint="eastAsia" w:ascii="微软雅黑" w:hAnsi="微软雅黑" w:eastAsia="微软雅黑"/>
        <w:b/>
      </w:rPr>
      <w:t>年度中国奥莱颁奖盛典</w:t>
    </w:r>
  </w:p>
  <w:p w14:paraId="65D3EAAC">
    <w:pPr>
      <w:pStyle w:val="11"/>
      <w:jc w:val="center"/>
      <w:rPr>
        <w:rFonts w:ascii="微软雅黑" w:hAnsi="微软雅黑" w:eastAsia="微软雅黑"/>
        <w:b/>
      </w:rPr>
    </w:pPr>
    <w:r>
      <w:rPr>
        <w:rFonts w:hint="eastAsia" w:ascii="微软雅黑" w:hAnsi="微软雅黑" w:eastAsia="微软雅黑"/>
        <w:b/>
      </w:rPr>
      <w:t>组委会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867FE2">
    <w:pPr>
      <w:tabs>
        <w:tab w:val="left" w:pos="3675"/>
        <w:tab w:val="center" w:pos="4876"/>
      </w:tabs>
      <w:jc w:val="center"/>
    </w:pPr>
    <w:r>
      <w:drawing>
        <wp:inline distT="0" distB="0" distL="0" distR="0">
          <wp:extent cx="1319530" cy="340995"/>
          <wp:effectExtent l="0" t="0" r="0" b="1905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40205" cy="3465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EF3291"/>
    <w:multiLevelType w:val="multilevel"/>
    <w:tmpl w:val="1CEF329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hint="default" w:ascii="Times New Roman" w:hAnsi="Times New Roman" w:cs="Times New Roman"/>
      </w:rPr>
    </w:lvl>
  </w:abstractNum>
  <w:abstractNum w:abstractNumId="1">
    <w:nsid w:val="57B2740D"/>
    <w:multiLevelType w:val="multilevel"/>
    <w:tmpl w:val="57B2740D"/>
    <w:lvl w:ilvl="0" w:tentative="0">
      <w:start w:val="1"/>
      <w:numFmt w:val="decimal"/>
      <w:pStyle w:val="2"/>
      <w:lvlText w:val="%1"/>
      <w:lvlJc w:val="left"/>
      <w:rPr>
        <w:rFonts w:ascii="黑体" w:hAnsi="黑体"/>
        <w:b w:val="0"/>
        <w:i w:val="0"/>
        <w:sz w:val="24"/>
      </w:rPr>
    </w:lvl>
    <w:lvl w:ilvl="1" w:tentative="0">
      <w:start w:val="1"/>
      <w:numFmt w:val="decimal"/>
      <w:pStyle w:val="3"/>
      <w:lvlText w:val="%1.%2"/>
      <w:lvlJc w:val="left"/>
      <w:rPr>
        <w:rFonts w:ascii="黑体" w:hAnsi="黑体"/>
        <w:b w:val="0"/>
        <w:i w:val="0"/>
        <w:sz w:val="24"/>
      </w:rPr>
    </w:lvl>
    <w:lvl w:ilvl="2" w:tentative="0">
      <w:start w:val="1"/>
      <w:numFmt w:val="decimal"/>
      <w:pStyle w:val="4"/>
      <w:lvlText w:val="%1.%2.%3"/>
      <w:lvlJc w:val="left"/>
      <w:rPr>
        <w:rFonts w:ascii="黑体" w:hAnsi="黑体"/>
        <w:b w:val="0"/>
        <w:i w:val="0"/>
        <w:sz w:val="24"/>
      </w:rPr>
    </w:lvl>
    <w:lvl w:ilvl="3" w:tentative="0">
      <w:start w:val="1"/>
      <w:numFmt w:val="decimal"/>
      <w:pStyle w:val="5"/>
      <w:lvlText w:val="%1.%2.%3.%4"/>
      <w:lvlJc w:val="left"/>
      <w:rPr>
        <w:rFonts w:ascii="黑体" w:hAnsi="黑体"/>
        <w:b w:val="0"/>
        <w:i w:val="0"/>
        <w:sz w:val="24"/>
      </w:rPr>
    </w:lvl>
    <w:lvl w:ilvl="4" w:tentative="0">
      <w:start w:val="1"/>
      <w:numFmt w:val="decimal"/>
      <w:pStyle w:val="6"/>
      <w:lvlText w:val="%1.%2.%3.%4.%5"/>
      <w:lvlJc w:val="left"/>
      <w:rPr>
        <w:rFonts w:ascii="黑体" w:hAnsi="黑体"/>
        <w:b w:val="0"/>
        <w:i w:val="0"/>
        <w:sz w:val="24"/>
      </w:rPr>
    </w:lvl>
    <w:lvl w:ilvl="5" w:tentative="0">
      <w:start w:val="1"/>
      <w:numFmt w:val="decimal"/>
      <w:pStyle w:val="7"/>
      <w:lvlText w:val="%1.%2.%3.%4.%5.%6"/>
      <w:lvlJc w:val="left"/>
      <w:rPr>
        <w:rFonts w:ascii="黑体" w:hAnsi="黑体"/>
        <w:b w:val="0"/>
        <w:i w:val="0"/>
        <w:sz w:val="24"/>
      </w:rPr>
    </w:lvl>
    <w:lvl w:ilvl="6" w:tentative="0">
      <w:start w:val="1"/>
      <w:numFmt w:val="decimal"/>
      <w:pStyle w:val="8"/>
      <w:lvlText w:val="    （%7）"/>
      <w:lvlJc w:val="left"/>
      <w:rPr>
        <w:rFonts w:ascii="宋体" w:hAnsi="宋体"/>
        <w:b w:val="0"/>
        <w:i w:val="0"/>
        <w:sz w:val="21"/>
      </w:rPr>
    </w:lvl>
    <w:lvl w:ilvl="7" w:tentative="0">
      <w:start w:val="1"/>
      <w:numFmt w:val="lowerLetter"/>
      <w:pStyle w:val="9"/>
      <w:lvlText w:val="（%8）"/>
      <w:lvlJc w:val="left"/>
      <w:rPr>
        <w:rFonts w:ascii="黑体" w:hAnsi="黑体"/>
        <w:b w:val="0"/>
        <w:i w:val="0"/>
        <w:sz w:val="24"/>
      </w:rPr>
    </w:lvl>
    <w:lvl w:ilvl="8" w:tentative="0">
      <w:start w:val="1"/>
      <w:numFmt w:val="lowerRoman"/>
      <w:pStyle w:val="10"/>
      <w:lvlText w:val="（%9）"/>
      <w:lvlJc w:val="left"/>
      <w:rPr>
        <w:rFonts w:ascii="黑体" w:hAnsi="黑体"/>
        <w:b w:val="0"/>
        <w:i w:val="0"/>
        <w:sz w:val="24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UyZDM0ZjZmODNhNjRlYjBiMWYwNjQ1ZTdlOWI5MTUifQ=="/>
  </w:docVars>
  <w:rsids>
    <w:rsidRoot w:val="00C71123"/>
    <w:rsid w:val="000119E9"/>
    <w:rsid w:val="00041D02"/>
    <w:rsid w:val="000562A4"/>
    <w:rsid w:val="00080577"/>
    <w:rsid w:val="000928F7"/>
    <w:rsid w:val="000F3085"/>
    <w:rsid w:val="00131AF8"/>
    <w:rsid w:val="00155B03"/>
    <w:rsid w:val="0016235F"/>
    <w:rsid w:val="001B5166"/>
    <w:rsid w:val="001C796B"/>
    <w:rsid w:val="001D5BCE"/>
    <w:rsid w:val="001E56B5"/>
    <w:rsid w:val="00202658"/>
    <w:rsid w:val="00207CDD"/>
    <w:rsid w:val="00242B49"/>
    <w:rsid w:val="002860B6"/>
    <w:rsid w:val="002A39DB"/>
    <w:rsid w:val="002A7502"/>
    <w:rsid w:val="002D3774"/>
    <w:rsid w:val="00331E26"/>
    <w:rsid w:val="003630C2"/>
    <w:rsid w:val="00364848"/>
    <w:rsid w:val="00377545"/>
    <w:rsid w:val="003869A2"/>
    <w:rsid w:val="003A2B35"/>
    <w:rsid w:val="003A3F5A"/>
    <w:rsid w:val="003B0B45"/>
    <w:rsid w:val="003C0A71"/>
    <w:rsid w:val="003D2AD3"/>
    <w:rsid w:val="00400F2F"/>
    <w:rsid w:val="0041425F"/>
    <w:rsid w:val="004307DF"/>
    <w:rsid w:val="00445F07"/>
    <w:rsid w:val="004519C3"/>
    <w:rsid w:val="004D085E"/>
    <w:rsid w:val="004D4EEE"/>
    <w:rsid w:val="004F7FC5"/>
    <w:rsid w:val="00515560"/>
    <w:rsid w:val="005726A3"/>
    <w:rsid w:val="00586D67"/>
    <w:rsid w:val="00590536"/>
    <w:rsid w:val="00590D8C"/>
    <w:rsid w:val="005A6995"/>
    <w:rsid w:val="005B61C9"/>
    <w:rsid w:val="005B7011"/>
    <w:rsid w:val="005B76CD"/>
    <w:rsid w:val="005C4DFB"/>
    <w:rsid w:val="005C5B4A"/>
    <w:rsid w:val="005D093D"/>
    <w:rsid w:val="005D56D4"/>
    <w:rsid w:val="005F1958"/>
    <w:rsid w:val="005F74FE"/>
    <w:rsid w:val="00616955"/>
    <w:rsid w:val="0063151A"/>
    <w:rsid w:val="00634B99"/>
    <w:rsid w:val="0064159B"/>
    <w:rsid w:val="00644999"/>
    <w:rsid w:val="00657D3B"/>
    <w:rsid w:val="006842B5"/>
    <w:rsid w:val="00692F42"/>
    <w:rsid w:val="006C0FCC"/>
    <w:rsid w:val="006C3E4C"/>
    <w:rsid w:val="0070290C"/>
    <w:rsid w:val="007259B0"/>
    <w:rsid w:val="0073676B"/>
    <w:rsid w:val="00765848"/>
    <w:rsid w:val="007868A4"/>
    <w:rsid w:val="007B4868"/>
    <w:rsid w:val="007C050B"/>
    <w:rsid w:val="007C3CDF"/>
    <w:rsid w:val="007F1F84"/>
    <w:rsid w:val="007F30FD"/>
    <w:rsid w:val="0082499D"/>
    <w:rsid w:val="00854467"/>
    <w:rsid w:val="0086108B"/>
    <w:rsid w:val="00861516"/>
    <w:rsid w:val="008B6E24"/>
    <w:rsid w:val="008E5210"/>
    <w:rsid w:val="008F7C1B"/>
    <w:rsid w:val="00912FC2"/>
    <w:rsid w:val="00927BB2"/>
    <w:rsid w:val="00936FDF"/>
    <w:rsid w:val="00942F5F"/>
    <w:rsid w:val="00970AF0"/>
    <w:rsid w:val="00971440"/>
    <w:rsid w:val="009831A1"/>
    <w:rsid w:val="00992F05"/>
    <w:rsid w:val="009B2F91"/>
    <w:rsid w:val="009F60F5"/>
    <w:rsid w:val="00A01F90"/>
    <w:rsid w:val="00A1584E"/>
    <w:rsid w:val="00A176B5"/>
    <w:rsid w:val="00A3248B"/>
    <w:rsid w:val="00A406B1"/>
    <w:rsid w:val="00A534CE"/>
    <w:rsid w:val="00A6322E"/>
    <w:rsid w:val="00A72EB4"/>
    <w:rsid w:val="00A95D02"/>
    <w:rsid w:val="00AA1F09"/>
    <w:rsid w:val="00AA7DCC"/>
    <w:rsid w:val="00AA7F69"/>
    <w:rsid w:val="00AB4522"/>
    <w:rsid w:val="00AC19CD"/>
    <w:rsid w:val="00AF55EC"/>
    <w:rsid w:val="00B56E34"/>
    <w:rsid w:val="00B74EA3"/>
    <w:rsid w:val="00B8704F"/>
    <w:rsid w:val="00BB04F9"/>
    <w:rsid w:val="00BB16FD"/>
    <w:rsid w:val="00BF6759"/>
    <w:rsid w:val="00BF6EB5"/>
    <w:rsid w:val="00C10DA7"/>
    <w:rsid w:val="00C13E5F"/>
    <w:rsid w:val="00C24715"/>
    <w:rsid w:val="00C3153E"/>
    <w:rsid w:val="00C37FFE"/>
    <w:rsid w:val="00C45FD0"/>
    <w:rsid w:val="00C4754B"/>
    <w:rsid w:val="00C47E28"/>
    <w:rsid w:val="00C70512"/>
    <w:rsid w:val="00C71123"/>
    <w:rsid w:val="00C8055A"/>
    <w:rsid w:val="00C8750F"/>
    <w:rsid w:val="00CA173C"/>
    <w:rsid w:val="00CB50D5"/>
    <w:rsid w:val="00CB681A"/>
    <w:rsid w:val="00CC2A37"/>
    <w:rsid w:val="00CD5DD2"/>
    <w:rsid w:val="00CE45F4"/>
    <w:rsid w:val="00CE47E4"/>
    <w:rsid w:val="00CE78C7"/>
    <w:rsid w:val="00CE7F3F"/>
    <w:rsid w:val="00CF2419"/>
    <w:rsid w:val="00CF7D96"/>
    <w:rsid w:val="00D02C44"/>
    <w:rsid w:val="00D111CC"/>
    <w:rsid w:val="00D2749B"/>
    <w:rsid w:val="00D54446"/>
    <w:rsid w:val="00D54A5B"/>
    <w:rsid w:val="00DA1B9D"/>
    <w:rsid w:val="00DB7A96"/>
    <w:rsid w:val="00DC2918"/>
    <w:rsid w:val="00DE7AC4"/>
    <w:rsid w:val="00DF701F"/>
    <w:rsid w:val="00E026B4"/>
    <w:rsid w:val="00E02FA6"/>
    <w:rsid w:val="00E0372F"/>
    <w:rsid w:val="00E213D8"/>
    <w:rsid w:val="00E24CC1"/>
    <w:rsid w:val="00E37150"/>
    <w:rsid w:val="00E406DF"/>
    <w:rsid w:val="00E54281"/>
    <w:rsid w:val="00E646EC"/>
    <w:rsid w:val="00E71087"/>
    <w:rsid w:val="00E733E6"/>
    <w:rsid w:val="00E7755A"/>
    <w:rsid w:val="00E87A27"/>
    <w:rsid w:val="00EA3838"/>
    <w:rsid w:val="00EA4322"/>
    <w:rsid w:val="00EA48C2"/>
    <w:rsid w:val="00ED1D41"/>
    <w:rsid w:val="00EE2F67"/>
    <w:rsid w:val="00F2749C"/>
    <w:rsid w:val="00F32AAC"/>
    <w:rsid w:val="00F410AB"/>
    <w:rsid w:val="00F4729B"/>
    <w:rsid w:val="00F8145F"/>
    <w:rsid w:val="00F81DC9"/>
    <w:rsid w:val="00F87B00"/>
    <w:rsid w:val="00FA17D3"/>
    <w:rsid w:val="00FA60A7"/>
    <w:rsid w:val="00FA7177"/>
    <w:rsid w:val="00FB61FE"/>
    <w:rsid w:val="00FC0E4A"/>
    <w:rsid w:val="00FC5570"/>
    <w:rsid w:val="00FC5626"/>
    <w:rsid w:val="00FE07D1"/>
    <w:rsid w:val="00FF56BA"/>
    <w:rsid w:val="011C16C3"/>
    <w:rsid w:val="012F6E0E"/>
    <w:rsid w:val="01AA6429"/>
    <w:rsid w:val="01E0649E"/>
    <w:rsid w:val="02203B3A"/>
    <w:rsid w:val="026878AC"/>
    <w:rsid w:val="034D095E"/>
    <w:rsid w:val="03F82FC0"/>
    <w:rsid w:val="047A1C27"/>
    <w:rsid w:val="05432019"/>
    <w:rsid w:val="05854046"/>
    <w:rsid w:val="05BC6EC9"/>
    <w:rsid w:val="05D84E57"/>
    <w:rsid w:val="06B64A6C"/>
    <w:rsid w:val="077E1A2E"/>
    <w:rsid w:val="07807554"/>
    <w:rsid w:val="07E946F0"/>
    <w:rsid w:val="098D5F59"/>
    <w:rsid w:val="099E1F14"/>
    <w:rsid w:val="0A8E1F88"/>
    <w:rsid w:val="0C542D5E"/>
    <w:rsid w:val="0C9C64B3"/>
    <w:rsid w:val="0C9D4705"/>
    <w:rsid w:val="0CD520F0"/>
    <w:rsid w:val="0CD97582"/>
    <w:rsid w:val="0CE151E2"/>
    <w:rsid w:val="0D166265"/>
    <w:rsid w:val="0D483080"/>
    <w:rsid w:val="0D4C1C87"/>
    <w:rsid w:val="0D9C49BC"/>
    <w:rsid w:val="0DB066B9"/>
    <w:rsid w:val="0E231289"/>
    <w:rsid w:val="0E686F94"/>
    <w:rsid w:val="0E6D45AA"/>
    <w:rsid w:val="0EBC549F"/>
    <w:rsid w:val="0EC107E0"/>
    <w:rsid w:val="0F474DFC"/>
    <w:rsid w:val="0F805157"/>
    <w:rsid w:val="0FA455C2"/>
    <w:rsid w:val="0FE8213B"/>
    <w:rsid w:val="0FED0610"/>
    <w:rsid w:val="10D206F5"/>
    <w:rsid w:val="11074842"/>
    <w:rsid w:val="11082369"/>
    <w:rsid w:val="112371A2"/>
    <w:rsid w:val="11301A84"/>
    <w:rsid w:val="113118BF"/>
    <w:rsid w:val="115702EF"/>
    <w:rsid w:val="11CE710E"/>
    <w:rsid w:val="12851EC3"/>
    <w:rsid w:val="12AB744F"/>
    <w:rsid w:val="12CC5D44"/>
    <w:rsid w:val="135A334F"/>
    <w:rsid w:val="13841D40"/>
    <w:rsid w:val="15757273"/>
    <w:rsid w:val="15E269C5"/>
    <w:rsid w:val="165B2F3A"/>
    <w:rsid w:val="17DF2075"/>
    <w:rsid w:val="18FA5ABF"/>
    <w:rsid w:val="19197809"/>
    <w:rsid w:val="19423094"/>
    <w:rsid w:val="19AF7825"/>
    <w:rsid w:val="1A951111"/>
    <w:rsid w:val="1B300E3A"/>
    <w:rsid w:val="1B5320F7"/>
    <w:rsid w:val="1B58157D"/>
    <w:rsid w:val="1B754A9E"/>
    <w:rsid w:val="1BE063BC"/>
    <w:rsid w:val="1C7D1E5D"/>
    <w:rsid w:val="1C856F63"/>
    <w:rsid w:val="1C8C3FE3"/>
    <w:rsid w:val="1C9442FC"/>
    <w:rsid w:val="1CD53A47"/>
    <w:rsid w:val="1CD7615D"/>
    <w:rsid w:val="1D7C7F23"/>
    <w:rsid w:val="1DB23D88"/>
    <w:rsid w:val="1E205195"/>
    <w:rsid w:val="1E85324A"/>
    <w:rsid w:val="1E8A6AB3"/>
    <w:rsid w:val="1EF714D8"/>
    <w:rsid w:val="1FAF4A23"/>
    <w:rsid w:val="2007660D"/>
    <w:rsid w:val="2020322B"/>
    <w:rsid w:val="20D34C23"/>
    <w:rsid w:val="20E6437F"/>
    <w:rsid w:val="22854137"/>
    <w:rsid w:val="22A76718"/>
    <w:rsid w:val="23076924"/>
    <w:rsid w:val="24747FE9"/>
    <w:rsid w:val="26215F4F"/>
    <w:rsid w:val="26867B60"/>
    <w:rsid w:val="26C708A4"/>
    <w:rsid w:val="26D27249"/>
    <w:rsid w:val="26ED7BDF"/>
    <w:rsid w:val="26F3299A"/>
    <w:rsid w:val="26FD3AB6"/>
    <w:rsid w:val="27622596"/>
    <w:rsid w:val="27800A53"/>
    <w:rsid w:val="27C76682"/>
    <w:rsid w:val="27C9645A"/>
    <w:rsid w:val="281A2C55"/>
    <w:rsid w:val="28612632"/>
    <w:rsid w:val="288434E9"/>
    <w:rsid w:val="28FC05AD"/>
    <w:rsid w:val="29AC5345"/>
    <w:rsid w:val="29EF7E64"/>
    <w:rsid w:val="29F319B0"/>
    <w:rsid w:val="2A506E02"/>
    <w:rsid w:val="2A7C7EFB"/>
    <w:rsid w:val="2AD12CAD"/>
    <w:rsid w:val="2B0276EF"/>
    <w:rsid w:val="2B0B2D29"/>
    <w:rsid w:val="2B1971F4"/>
    <w:rsid w:val="2B3C1135"/>
    <w:rsid w:val="2B626DED"/>
    <w:rsid w:val="2B710DDE"/>
    <w:rsid w:val="2C0734F1"/>
    <w:rsid w:val="2C2045B2"/>
    <w:rsid w:val="2C78619D"/>
    <w:rsid w:val="2D0619FA"/>
    <w:rsid w:val="2DCE144A"/>
    <w:rsid w:val="2E84707B"/>
    <w:rsid w:val="2F217689"/>
    <w:rsid w:val="2FC242FE"/>
    <w:rsid w:val="30CC4D09"/>
    <w:rsid w:val="31CC49EC"/>
    <w:rsid w:val="3209538F"/>
    <w:rsid w:val="323B5CA2"/>
    <w:rsid w:val="32B32191"/>
    <w:rsid w:val="32F6606D"/>
    <w:rsid w:val="336631F3"/>
    <w:rsid w:val="337376BE"/>
    <w:rsid w:val="34C42799"/>
    <w:rsid w:val="3548101F"/>
    <w:rsid w:val="35944047"/>
    <w:rsid w:val="35A149B0"/>
    <w:rsid w:val="35A832FF"/>
    <w:rsid w:val="36D30B9F"/>
    <w:rsid w:val="375C6DE7"/>
    <w:rsid w:val="38683569"/>
    <w:rsid w:val="38920D43"/>
    <w:rsid w:val="390019F4"/>
    <w:rsid w:val="39974106"/>
    <w:rsid w:val="39E3734B"/>
    <w:rsid w:val="3A3758E9"/>
    <w:rsid w:val="3A940645"/>
    <w:rsid w:val="3ABB3E24"/>
    <w:rsid w:val="3AF168A0"/>
    <w:rsid w:val="3B0532F1"/>
    <w:rsid w:val="3B255741"/>
    <w:rsid w:val="3B424545"/>
    <w:rsid w:val="3B895CD0"/>
    <w:rsid w:val="3BAC5E63"/>
    <w:rsid w:val="3BF770DE"/>
    <w:rsid w:val="3D347EBE"/>
    <w:rsid w:val="3E104487"/>
    <w:rsid w:val="3E1C2E2C"/>
    <w:rsid w:val="3EB92D70"/>
    <w:rsid w:val="3EDB2CE7"/>
    <w:rsid w:val="3FD80FD4"/>
    <w:rsid w:val="3FDD483D"/>
    <w:rsid w:val="3FE536F1"/>
    <w:rsid w:val="401A060A"/>
    <w:rsid w:val="40387CC5"/>
    <w:rsid w:val="40493C80"/>
    <w:rsid w:val="4081166C"/>
    <w:rsid w:val="411C1395"/>
    <w:rsid w:val="415E375B"/>
    <w:rsid w:val="41DA7286"/>
    <w:rsid w:val="41FF4F3E"/>
    <w:rsid w:val="42894808"/>
    <w:rsid w:val="42BE6BA7"/>
    <w:rsid w:val="43F263DD"/>
    <w:rsid w:val="442E2617"/>
    <w:rsid w:val="44A91191"/>
    <w:rsid w:val="456632CE"/>
    <w:rsid w:val="45912351"/>
    <w:rsid w:val="45E16709"/>
    <w:rsid w:val="464E3D9E"/>
    <w:rsid w:val="46C921A5"/>
    <w:rsid w:val="47176886"/>
    <w:rsid w:val="473F5DDD"/>
    <w:rsid w:val="4783216D"/>
    <w:rsid w:val="487B2E45"/>
    <w:rsid w:val="48EE3617"/>
    <w:rsid w:val="493A7D95"/>
    <w:rsid w:val="49D73EA2"/>
    <w:rsid w:val="49E12614"/>
    <w:rsid w:val="4A203CA4"/>
    <w:rsid w:val="4A525E27"/>
    <w:rsid w:val="4AEE3DA2"/>
    <w:rsid w:val="4AFC64BF"/>
    <w:rsid w:val="4B26353C"/>
    <w:rsid w:val="4B5F6A4E"/>
    <w:rsid w:val="4BDA60D4"/>
    <w:rsid w:val="4C545E87"/>
    <w:rsid w:val="4C8449BE"/>
    <w:rsid w:val="4CAA3CF8"/>
    <w:rsid w:val="4CDE213A"/>
    <w:rsid w:val="4D2515D1"/>
    <w:rsid w:val="4D9E721C"/>
    <w:rsid w:val="4DA66A4D"/>
    <w:rsid w:val="4DAE4370"/>
    <w:rsid w:val="4E612ADD"/>
    <w:rsid w:val="4E870795"/>
    <w:rsid w:val="4EBD5F65"/>
    <w:rsid w:val="4FCF0517"/>
    <w:rsid w:val="502B6EFE"/>
    <w:rsid w:val="503F29AA"/>
    <w:rsid w:val="506A731C"/>
    <w:rsid w:val="50EE7299"/>
    <w:rsid w:val="51BC0756"/>
    <w:rsid w:val="51BD06B4"/>
    <w:rsid w:val="52093B53"/>
    <w:rsid w:val="52173BDE"/>
    <w:rsid w:val="53733096"/>
    <w:rsid w:val="53A51738"/>
    <w:rsid w:val="5430665F"/>
    <w:rsid w:val="5466238B"/>
    <w:rsid w:val="55257392"/>
    <w:rsid w:val="552F749C"/>
    <w:rsid w:val="557A3D09"/>
    <w:rsid w:val="55907A26"/>
    <w:rsid w:val="55B81234"/>
    <w:rsid w:val="55EE10FA"/>
    <w:rsid w:val="56132D89"/>
    <w:rsid w:val="57113082"/>
    <w:rsid w:val="57367850"/>
    <w:rsid w:val="576D42A0"/>
    <w:rsid w:val="593908DE"/>
    <w:rsid w:val="594F3C5E"/>
    <w:rsid w:val="597B2CA5"/>
    <w:rsid w:val="59E06FAB"/>
    <w:rsid w:val="5A0013FC"/>
    <w:rsid w:val="5A6C6A91"/>
    <w:rsid w:val="5AD85ED5"/>
    <w:rsid w:val="5D236F7A"/>
    <w:rsid w:val="5D504448"/>
    <w:rsid w:val="5D993FCA"/>
    <w:rsid w:val="5DB70023"/>
    <w:rsid w:val="5DCC4CF4"/>
    <w:rsid w:val="5DDE7CA6"/>
    <w:rsid w:val="5E0A2849"/>
    <w:rsid w:val="5E280F21"/>
    <w:rsid w:val="5E9071F2"/>
    <w:rsid w:val="5EDA221B"/>
    <w:rsid w:val="5EE95525"/>
    <w:rsid w:val="5F5E6012"/>
    <w:rsid w:val="5F942D12"/>
    <w:rsid w:val="5FE80968"/>
    <w:rsid w:val="60237BF2"/>
    <w:rsid w:val="60602BF4"/>
    <w:rsid w:val="60885CA7"/>
    <w:rsid w:val="60A772A9"/>
    <w:rsid w:val="60F82E2D"/>
    <w:rsid w:val="61B72CE8"/>
    <w:rsid w:val="622814F0"/>
    <w:rsid w:val="62426A55"/>
    <w:rsid w:val="626369CC"/>
    <w:rsid w:val="630407F8"/>
    <w:rsid w:val="63EB4ECB"/>
    <w:rsid w:val="648844C8"/>
    <w:rsid w:val="648E47C6"/>
    <w:rsid w:val="64FB113D"/>
    <w:rsid w:val="65931376"/>
    <w:rsid w:val="66FB3677"/>
    <w:rsid w:val="678C0773"/>
    <w:rsid w:val="67BA24A4"/>
    <w:rsid w:val="67E265E5"/>
    <w:rsid w:val="68351635"/>
    <w:rsid w:val="69252C2D"/>
    <w:rsid w:val="69366BE8"/>
    <w:rsid w:val="69F820EF"/>
    <w:rsid w:val="6A464C09"/>
    <w:rsid w:val="6A4E61B3"/>
    <w:rsid w:val="6A5401FD"/>
    <w:rsid w:val="6A9F07BD"/>
    <w:rsid w:val="6B012391"/>
    <w:rsid w:val="6B15282D"/>
    <w:rsid w:val="6B245F10"/>
    <w:rsid w:val="6B623CC4"/>
    <w:rsid w:val="6B680BAF"/>
    <w:rsid w:val="6BA17F8A"/>
    <w:rsid w:val="6BAA11C7"/>
    <w:rsid w:val="6CED3A62"/>
    <w:rsid w:val="6CF52916"/>
    <w:rsid w:val="6E3B6A4F"/>
    <w:rsid w:val="6E4A44E4"/>
    <w:rsid w:val="6E91041D"/>
    <w:rsid w:val="6EC62779"/>
    <w:rsid w:val="6F284621"/>
    <w:rsid w:val="6FAD572A"/>
    <w:rsid w:val="700C2451"/>
    <w:rsid w:val="70300B8B"/>
    <w:rsid w:val="70700C31"/>
    <w:rsid w:val="70C82A0E"/>
    <w:rsid w:val="7155311B"/>
    <w:rsid w:val="71B72890"/>
    <w:rsid w:val="7218332F"/>
    <w:rsid w:val="73950527"/>
    <w:rsid w:val="73FE47A6"/>
    <w:rsid w:val="742D6E39"/>
    <w:rsid w:val="74A6237F"/>
    <w:rsid w:val="75022074"/>
    <w:rsid w:val="76342701"/>
    <w:rsid w:val="7634625D"/>
    <w:rsid w:val="763F18C4"/>
    <w:rsid w:val="76872831"/>
    <w:rsid w:val="76AF0906"/>
    <w:rsid w:val="77324E93"/>
    <w:rsid w:val="774215BD"/>
    <w:rsid w:val="775070C7"/>
    <w:rsid w:val="7769462C"/>
    <w:rsid w:val="77876861"/>
    <w:rsid w:val="7824028A"/>
    <w:rsid w:val="798D4602"/>
    <w:rsid w:val="79C67B14"/>
    <w:rsid w:val="79FE69CC"/>
    <w:rsid w:val="7A505630"/>
    <w:rsid w:val="7AAD4830"/>
    <w:rsid w:val="7B705F89"/>
    <w:rsid w:val="7BE0659C"/>
    <w:rsid w:val="7C556F2D"/>
    <w:rsid w:val="7CC320E9"/>
    <w:rsid w:val="7D034BDB"/>
    <w:rsid w:val="7D06127C"/>
    <w:rsid w:val="7D3E79C1"/>
    <w:rsid w:val="7E7A0ECD"/>
    <w:rsid w:val="7EE17654"/>
    <w:rsid w:val="7EFC3481"/>
    <w:rsid w:val="7F9D6634"/>
    <w:rsid w:val="7FE373AC"/>
    <w:rsid w:val="7FE7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autoRedefine/>
    <w:qFormat/>
    <w:uiPriority w:val="0"/>
    <w:pPr>
      <w:keepNext/>
      <w:keepLines/>
      <w:numPr>
        <w:ilvl w:val="0"/>
        <w:numId w:val="1"/>
      </w:numPr>
      <w:spacing w:before="200" w:after="180" w:line="360" w:lineRule="atLeast"/>
      <w:jc w:val="left"/>
      <w:outlineLvl w:val="0"/>
    </w:pPr>
    <w:rPr>
      <w:rFonts w:ascii="Arial" w:hAnsi="Arial" w:eastAsia="黑体" w:cs="Arial"/>
      <w:sz w:val="24"/>
    </w:rPr>
  </w:style>
  <w:style w:type="paragraph" w:styleId="3">
    <w:name w:val="heading 2"/>
    <w:basedOn w:val="1"/>
    <w:next w:val="1"/>
    <w:link w:val="20"/>
    <w:autoRedefine/>
    <w:qFormat/>
    <w:uiPriority w:val="0"/>
    <w:pPr>
      <w:keepNext/>
      <w:keepLines/>
      <w:numPr>
        <w:ilvl w:val="1"/>
        <w:numId w:val="1"/>
      </w:numPr>
      <w:spacing w:line="360" w:lineRule="atLeast"/>
      <w:jc w:val="left"/>
      <w:outlineLvl w:val="1"/>
    </w:pPr>
    <w:rPr>
      <w:sz w:val="24"/>
    </w:rPr>
  </w:style>
  <w:style w:type="paragraph" w:styleId="4">
    <w:name w:val="heading 3"/>
    <w:basedOn w:val="1"/>
    <w:next w:val="1"/>
    <w:link w:val="21"/>
    <w:autoRedefine/>
    <w:qFormat/>
    <w:uiPriority w:val="0"/>
    <w:pPr>
      <w:keepNext/>
      <w:keepLines/>
      <w:numPr>
        <w:ilvl w:val="2"/>
        <w:numId w:val="1"/>
      </w:numPr>
      <w:spacing w:line="360" w:lineRule="atLeast"/>
      <w:jc w:val="left"/>
      <w:outlineLvl w:val="2"/>
    </w:pPr>
    <w:rPr>
      <w:sz w:val="24"/>
    </w:rPr>
  </w:style>
  <w:style w:type="paragraph" w:styleId="5">
    <w:name w:val="heading 4"/>
    <w:basedOn w:val="4"/>
    <w:next w:val="1"/>
    <w:link w:val="22"/>
    <w:autoRedefine/>
    <w:qFormat/>
    <w:uiPriority w:val="0"/>
    <w:pPr>
      <w:numPr>
        <w:ilvl w:val="3"/>
      </w:numPr>
      <w:tabs>
        <w:tab w:val="left" w:pos="360"/>
      </w:tabs>
      <w:outlineLvl w:val="3"/>
    </w:pPr>
  </w:style>
  <w:style w:type="paragraph" w:styleId="6">
    <w:name w:val="heading 5"/>
    <w:basedOn w:val="1"/>
    <w:next w:val="1"/>
    <w:link w:val="23"/>
    <w:autoRedefine/>
    <w:qFormat/>
    <w:uiPriority w:val="0"/>
    <w:pPr>
      <w:keepNext/>
      <w:keepLines/>
      <w:numPr>
        <w:ilvl w:val="4"/>
        <w:numId w:val="1"/>
      </w:numPr>
      <w:spacing w:line="360" w:lineRule="atLeast"/>
      <w:jc w:val="left"/>
      <w:outlineLvl w:val="4"/>
    </w:pPr>
    <w:rPr>
      <w:sz w:val="24"/>
    </w:rPr>
  </w:style>
  <w:style w:type="paragraph" w:styleId="7">
    <w:name w:val="heading 6"/>
    <w:basedOn w:val="1"/>
    <w:next w:val="1"/>
    <w:link w:val="24"/>
    <w:autoRedefine/>
    <w:qFormat/>
    <w:uiPriority w:val="0"/>
    <w:pPr>
      <w:keepNext/>
      <w:keepLines/>
      <w:numPr>
        <w:ilvl w:val="5"/>
        <w:numId w:val="1"/>
      </w:numPr>
      <w:spacing w:line="360" w:lineRule="atLeast"/>
      <w:jc w:val="left"/>
      <w:outlineLvl w:val="5"/>
    </w:pPr>
    <w:rPr>
      <w:sz w:val="24"/>
    </w:rPr>
  </w:style>
  <w:style w:type="paragraph" w:styleId="8">
    <w:name w:val="heading 7"/>
    <w:basedOn w:val="1"/>
    <w:next w:val="1"/>
    <w:link w:val="25"/>
    <w:autoRedefine/>
    <w:qFormat/>
    <w:uiPriority w:val="0"/>
    <w:pPr>
      <w:keepNext/>
      <w:keepLines/>
      <w:numPr>
        <w:ilvl w:val="6"/>
        <w:numId w:val="1"/>
      </w:numPr>
      <w:spacing w:line="360" w:lineRule="atLeast"/>
      <w:jc w:val="left"/>
      <w:outlineLvl w:val="6"/>
    </w:pPr>
    <w:rPr>
      <w:sz w:val="24"/>
    </w:rPr>
  </w:style>
  <w:style w:type="paragraph" w:styleId="9">
    <w:name w:val="heading 8"/>
    <w:basedOn w:val="1"/>
    <w:next w:val="1"/>
    <w:link w:val="26"/>
    <w:autoRedefine/>
    <w:qFormat/>
    <w:uiPriority w:val="0"/>
    <w:pPr>
      <w:keepNext/>
      <w:keepLines/>
      <w:numPr>
        <w:ilvl w:val="7"/>
        <w:numId w:val="1"/>
      </w:numPr>
      <w:spacing w:line="360" w:lineRule="atLeast"/>
      <w:jc w:val="left"/>
      <w:outlineLvl w:val="7"/>
    </w:pPr>
    <w:rPr>
      <w:sz w:val="24"/>
    </w:rPr>
  </w:style>
  <w:style w:type="paragraph" w:styleId="10">
    <w:name w:val="heading 9"/>
    <w:basedOn w:val="1"/>
    <w:next w:val="1"/>
    <w:link w:val="27"/>
    <w:autoRedefine/>
    <w:qFormat/>
    <w:uiPriority w:val="0"/>
    <w:pPr>
      <w:keepNext/>
      <w:keepLines/>
      <w:numPr>
        <w:ilvl w:val="8"/>
        <w:numId w:val="1"/>
      </w:numPr>
      <w:spacing w:line="360" w:lineRule="atLeast"/>
      <w:jc w:val="left"/>
      <w:outlineLvl w:val="8"/>
    </w:pPr>
    <w:rPr>
      <w:sz w:val="24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auto"/>
      <w:sz w:val="24"/>
    </w:rPr>
  </w:style>
  <w:style w:type="table" w:styleId="15">
    <w:name w:val="Table Grid"/>
    <w:basedOn w:val="1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autoRedefine/>
    <w:qFormat/>
    <w:uiPriority w:val="22"/>
    <w:rPr>
      <w:b/>
      <w:bCs/>
    </w:rPr>
  </w:style>
  <w:style w:type="character" w:styleId="18">
    <w:name w:val="Hyperlink"/>
    <w:basedOn w:val="16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标题 1 字符"/>
    <w:basedOn w:val="16"/>
    <w:link w:val="2"/>
    <w:autoRedefine/>
    <w:qFormat/>
    <w:uiPriority w:val="0"/>
    <w:rPr>
      <w:rFonts w:ascii="Arial" w:hAnsi="Arial" w:eastAsia="黑体" w:cs="Arial"/>
      <w:color w:val="000000"/>
      <w:sz w:val="24"/>
      <w:szCs w:val="24"/>
    </w:rPr>
  </w:style>
  <w:style w:type="character" w:customStyle="1" w:styleId="20">
    <w:name w:val="标题 2 字符"/>
    <w:basedOn w:val="16"/>
    <w:link w:val="3"/>
    <w:autoRedefine/>
    <w:qFormat/>
    <w:uiPriority w:val="0"/>
    <w:rPr>
      <w:color w:val="000000"/>
      <w:sz w:val="24"/>
      <w:szCs w:val="24"/>
    </w:rPr>
  </w:style>
  <w:style w:type="character" w:customStyle="1" w:styleId="21">
    <w:name w:val="标题 3 字符"/>
    <w:basedOn w:val="16"/>
    <w:link w:val="4"/>
    <w:autoRedefine/>
    <w:qFormat/>
    <w:uiPriority w:val="0"/>
    <w:rPr>
      <w:color w:val="000000"/>
      <w:sz w:val="24"/>
      <w:szCs w:val="24"/>
    </w:rPr>
  </w:style>
  <w:style w:type="character" w:customStyle="1" w:styleId="22">
    <w:name w:val="标题 4 字符"/>
    <w:basedOn w:val="16"/>
    <w:link w:val="5"/>
    <w:autoRedefine/>
    <w:qFormat/>
    <w:uiPriority w:val="0"/>
    <w:rPr>
      <w:color w:val="000000"/>
      <w:sz w:val="24"/>
      <w:szCs w:val="24"/>
    </w:rPr>
  </w:style>
  <w:style w:type="character" w:customStyle="1" w:styleId="23">
    <w:name w:val="标题 5 字符"/>
    <w:basedOn w:val="16"/>
    <w:link w:val="6"/>
    <w:autoRedefine/>
    <w:qFormat/>
    <w:uiPriority w:val="0"/>
    <w:rPr>
      <w:color w:val="000000"/>
      <w:sz w:val="24"/>
      <w:szCs w:val="24"/>
    </w:rPr>
  </w:style>
  <w:style w:type="character" w:customStyle="1" w:styleId="24">
    <w:name w:val="标题 6 字符"/>
    <w:basedOn w:val="16"/>
    <w:link w:val="7"/>
    <w:autoRedefine/>
    <w:qFormat/>
    <w:uiPriority w:val="0"/>
    <w:rPr>
      <w:color w:val="000000"/>
      <w:sz w:val="24"/>
      <w:szCs w:val="24"/>
    </w:rPr>
  </w:style>
  <w:style w:type="character" w:customStyle="1" w:styleId="25">
    <w:name w:val="标题 7 字符"/>
    <w:basedOn w:val="16"/>
    <w:link w:val="8"/>
    <w:autoRedefine/>
    <w:qFormat/>
    <w:uiPriority w:val="0"/>
    <w:rPr>
      <w:color w:val="000000"/>
      <w:sz w:val="24"/>
      <w:szCs w:val="24"/>
    </w:rPr>
  </w:style>
  <w:style w:type="character" w:customStyle="1" w:styleId="26">
    <w:name w:val="标题 8 字符"/>
    <w:basedOn w:val="16"/>
    <w:link w:val="9"/>
    <w:autoRedefine/>
    <w:qFormat/>
    <w:uiPriority w:val="0"/>
    <w:rPr>
      <w:color w:val="000000"/>
      <w:sz w:val="24"/>
      <w:szCs w:val="24"/>
    </w:rPr>
  </w:style>
  <w:style w:type="character" w:customStyle="1" w:styleId="27">
    <w:name w:val="标题 9 字符"/>
    <w:basedOn w:val="16"/>
    <w:link w:val="10"/>
    <w:autoRedefine/>
    <w:qFormat/>
    <w:uiPriority w:val="0"/>
    <w:rPr>
      <w:color w:val="000000"/>
      <w:sz w:val="24"/>
      <w:szCs w:val="24"/>
    </w:rPr>
  </w:style>
  <w:style w:type="paragraph" w:styleId="28">
    <w:name w:val="List Paragraph"/>
    <w:basedOn w:val="1"/>
    <w:autoRedefine/>
    <w:qFormat/>
    <w:uiPriority w:val="34"/>
    <w:pPr>
      <w:widowControl/>
      <w:ind w:firstLine="420" w:firstLineChars="200"/>
      <w:jc w:val="left"/>
    </w:pPr>
    <w:rPr>
      <w:rFonts w:ascii="宋体" w:hAnsi="宋体" w:cs="宋体"/>
      <w:color w:val="auto"/>
      <w:sz w:val="24"/>
    </w:rPr>
  </w:style>
  <w:style w:type="character" w:customStyle="1" w:styleId="29">
    <w:name w:val="页眉 字符"/>
    <w:basedOn w:val="16"/>
    <w:link w:val="12"/>
    <w:autoRedefine/>
    <w:qFormat/>
    <w:uiPriority w:val="99"/>
    <w:rPr>
      <w:color w:val="000000"/>
      <w:sz w:val="18"/>
      <w:szCs w:val="18"/>
    </w:rPr>
  </w:style>
  <w:style w:type="character" w:customStyle="1" w:styleId="30">
    <w:name w:val="页脚 字符"/>
    <w:basedOn w:val="16"/>
    <w:link w:val="11"/>
    <w:autoRedefine/>
    <w:qFormat/>
    <w:uiPriority w:val="99"/>
    <w:rPr>
      <w:color w:val="000000"/>
      <w:sz w:val="18"/>
      <w:szCs w:val="18"/>
    </w:rPr>
  </w:style>
  <w:style w:type="character" w:customStyle="1" w:styleId="31">
    <w:name w:val="apple-converted-space"/>
    <w:basedOn w:val="16"/>
    <w:autoRedefine/>
    <w:qFormat/>
    <w:uiPriority w:val="0"/>
  </w:style>
  <w:style w:type="character" w:customStyle="1" w:styleId="32">
    <w:name w:val="未处理的提及1"/>
    <w:basedOn w:val="16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3">
    <w:name w:val="未处理的提及2"/>
    <w:basedOn w:val="16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4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5">
    <w:name w:val="15"/>
    <w:basedOn w:val="16"/>
    <w:qFormat/>
    <w:uiPriority w:val="0"/>
    <w:rPr>
      <w:rFonts w:hint="default"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4D6D5-607C-4B24-BCB3-6B6EE607F8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1140</Words>
  <Characters>1313</Characters>
  <Lines>16</Lines>
  <Paragraphs>4</Paragraphs>
  <TotalTime>10</TotalTime>
  <ScaleCrop>false</ScaleCrop>
  <LinksUpToDate>false</LinksUpToDate>
  <CharactersWithSpaces>1412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2024-03-15T08:39:00Z</dcterms:created>
  <dc:creator>Windows 用户</dc:creator>
  <cp:lastModifiedBy>曾老师</cp:lastModifiedBy>
  <dcterms:modified xsi:type="dcterms:W3CDTF">2026-05-12T06:50:46Z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6CC9C1FC2F864980AE5567DC67FC5E91_13</vt:lpwstr>
  </property>
  <property fmtid="{D5CDD505-2E9C-101B-9397-08002B2CF9AE}" pid="4" name="KSOTemplateDocerSaveRecord">
    <vt:lpwstr>eyJoZGlkIjoiN2UyZDM0ZjZmODNhNjRlYjBiMWYwNjQ1ZTdlOWI5MTUiLCJ1c2VySWQiOiI1MTY2NTk4NTkifQ==</vt:lpwstr>
  </property>
</Properties>
</file>