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20</w:t>
      </w:r>
      <w:r>
        <w:rPr>
          <w:rFonts w:asciiTheme="minorEastAsia" w:hAnsiTheme="minorEastAsia" w:eastAsiaTheme="minorEastAsia"/>
          <w:b/>
          <w:sz w:val="28"/>
          <w:szCs w:val="28"/>
        </w:rPr>
        <w:t>2</w:t>
      </w:r>
      <w:r>
        <w:rPr>
          <w:rFonts w:hint="eastAsia" w:asciiTheme="minorEastAsia" w:hAnsiTheme="minorEastAsia" w:eastAsiaTheme="minorEastAsia"/>
          <w:b/>
          <w:sz w:val="28"/>
          <w:szCs w:val="28"/>
        </w:rPr>
        <w:t>3年度中国奥莱颁奖盛典</w:t>
      </w:r>
    </w:p>
    <w:p>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奖项参选及评选办法</w:t>
      </w:r>
    </w:p>
    <w:p>
      <w:pPr>
        <w:spacing w:line="360" w:lineRule="auto"/>
        <w:jc w:val="center"/>
        <w:rPr>
          <w:rFonts w:asciiTheme="minorEastAsia" w:hAnsiTheme="minorEastAsia" w:eastAsiaTheme="minorEastAsia"/>
          <w:b/>
          <w:sz w:val="28"/>
          <w:szCs w:val="28"/>
        </w:rPr>
      </w:pPr>
    </w:p>
    <w:p>
      <w:pPr>
        <w:spacing w:line="360" w:lineRule="auto"/>
        <w:ind w:firstLine="840" w:firstLineChars="400"/>
        <w:rPr>
          <w:rFonts w:asciiTheme="minorEastAsia" w:hAnsiTheme="minorEastAsia" w:eastAsiaTheme="minorEastAsia"/>
          <w:szCs w:val="21"/>
        </w:rPr>
      </w:pPr>
      <w:r>
        <w:rPr>
          <w:rFonts w:hint="eastAsia" w:asciiTheme="minorEastAsia" w:hAnsiTheme="minorEastAsia" w:eastAsiaTheme="minorEastAsia"/>
          <w:szCs w:val="21"/>
        </w:rPr>
        <w:t>中国奥莱颁奖盛典是国内最大型的奥莱行业评选活动。中国奥莱颁奖盛典旨在对每年国内奥莱业态表现优异的项目、企业、品牌、营销案例、新技术应用、模式创新等领域的杰出表现着给予表彰。自2012年以来，至今已成功举办10届中国奥莱颁奖盛典。</w:t>
      </w:r>
    </w:p>
    <w:p>
      <w:pPr>
        <w:spacing w:line="360" w:lineRule="auto"/>
        <w:ind w:firstLine="840" w:firstLineChars="400"/>
        <w:rPr>
          <w:rFonts w:asciiTheme="minorEastAsia" w:hAnsiTheme="minorEastAsia" w:eastAsiaTheme="minorEastAsia"/>
          <w:szCs w:val="21"/>
        </w:rPr>
      </w:pPr>
      <w:r>
        <w:rPr>
          <w:rFonts w:hint="eastAsia" w:asciiTheme="minorEastAsia" w:hAnsiTheme="minorEastAsia" w:eastAsiaTheme="minorEastAsia"/>
          <w:szCs w:val="21"/>
        </w:rPr>
        <w:t>2024年5月22-24日，</w:t>
      </w:r>
      <w:r>
        <w:rPr>
          <w:rFonts w:hint="eastAsia" w:asciiTheme="minorEastAsia" w:hAnsiTheme="minorEastAsia" w:eastAsiaTheme="minorEastAsia"/>
          <w:b/>
          <w:bCs/>
          <w:szCs w:val="21"/>
        </w:rPr>
        <w:t>由中国奥莱会与新华报业传媒集团扬子晚报联合主办，奥莱领秀（广州）传媒科技有限公司承办，奥莱领秀商学教育科技（杭州）有限公司协办等的第11届奥莱领秀峰会暨2024奥莱产业经济论坛将于中国·南京盛大举办。2</w:t>
      </w:r>
      <w:r>
        <w:rPr>
          <w:rFonts w:asciiTheme="minorEastAsia" w:hAnsiTheme="minorEastAsia" w:eastAsiaTheme="minorEastAsia"/>
          <w:b/>
          <w:bCs/>
          <w:szCs w:val="21"/>
        </w:rPr>
        <w:t>02</w:t>
      </w:r>
      <w:r>
        <w:rPr>
          <w:rFonts w:hint="eastAsia" w:asciiTheme="minorEastAsia" w:hAnsiTheme="minorEastAsia" w:eastAsiaTheme="minorEastAsia"/>
          <w:b/>
          <w:bCs/>
          <w:szCs w:val="21"/>
        </w:rPr>
        <w:t>3年度中国奥莱颁奖盛典亦将于</w:t>
      </w:r>
      <w:r>
        <w:rPr>
          <w:rFonts w:asciiTheme="minorEastAsia" w:hAnsiTheme="minorEastAsia" w:eastAsiaTheme="minorEastAsia"/>
          <w:b/>
          <w:bCs/>
          <w:szCs w:val="21"/>
        </w:rPr>
        <w:t>202</w:t>
      </w:r>
      <w:r>
        <w:rPr>
          <w:rFonts w:hint="eastAsia" w:asciiTheme="minorEastAsia" w:hAnsiTheme="minorEastAsia" w:eastAsiaTheme="minorEastAsia"/>
          <w:b/>
          <w:bCs/>
          <w:szCs w:val="21"/>
        </w:rPr>
        <w:t>4年</w:t>
      </w:r>
      <w:r>
        <w:rPr>
          <w:rFonts w:asciiTheme="minorEastAsia" w:hAnsiTheme="minorEastAsia" w:eastAsiaTheme="minorEastAsia"/>
          <w:b/>
          <w:bCs/>
          <w:szCs w:val="21"/>
        </w:rPr>
        <w:t>5</w:t>
      </w:r>
      <w:r>
        <w:rPr>
          <w:rFonts w:hint="eastAsia" w:asciiTheme="minorEastAsia" w:hAnsiTheme="minorEastAsia" w:eastAsiaTheme="minorEastAsia"/>
          <w:b/>
          <w:bCs/>
          <w:szCs w:val="21"/>
        </w:rPr>
        <w:t>月24日隆重举办。</w:t>
      </w:r>
      <w:r>
        <w:rPr>
          <w:rFonts w:hint="eastAsia" w:asciiTheme="minorEastAsia" w:hAnsiTheme="minorEastAsia" w:eastAsiaTheme="minorEastAsia"/>
          <w:szCs w:val="21"/>
        </w:rPr>
        <w:t>有关20</w:t>
      </w:r>
      <w:r>
        <w:rPr>
          <w:rFonts w:asciiTheme="minorEastAsia" w:hAnsiTheme="minorEastAsia" w:eastAsiaTheme="minorEastAsia"/>
          <w:szCs w:val="21"/>
        </w:rPr>
        <w:t>2</w:t>
      </w:r>
      <w:r>
        <w:rPr>
          <w:rFonts w:hint="eastAsia" w:asciiTheme="minorEastAsia" w:hAnsiTheme="minorEastAsia" w:eastAsiaTheme="minorEastAsia"/>
          <w:szCs w:val="21"/>
        </w:rPr>
        <w:t>3年度中国奥莱颁奖盛典的相关奖项的参评标准以及报名通道也正式开放，</w:t>
      </w:r>
      <w:r>
        <w:rPr>
          <w:rFonts w:hint="eastAsia" w:asciiTheme="minorEastAsia" w:hAnsiTheme="minorEastAsia" w:eastAsiaTheme="minorEastAsia"/>
          <w:b/>
          <w:bCs/>
          <w:szCs w:val="21"/>
        </w:rPr>
        <w:t>首批奖项申报提交截止时间：</w:t>
      </w:r>
      <w:r>
        <w:rPr>
          <w:rFonts w:asciiTheme="minorEastAsia" w:hAnsiTheme="minorEastAsia" w:eastAsiaTheme="minorEastAsia"/>
          <w:b/>
          <w:bCs/>
          <w:szCs w:val="21"/>
        </w:rPr>
        <w:t>202</w:t>
      </w:r>
      <w:r>
        <w:rPr>
          <w:rFonts w:hint="eastAsia" w:asciiTheme="minorEastAsia" w:hAnsiTheme="minorEastAsia" w:eastAsiaTheme="minorEastAsia"/>
          <w:b/>
          <w:bCs/>
          <w:szCs w:val="21"/>
        </w:rPr>
        <w:t>4年</w:t>
      </w:r>
      <w:r>
        <w:rPr>
          <w:rFonts w:asciiTheme="minorEastAsia" w:hAnsiTheme="minorEastAsia" w:eastAsiaTheme="minorEastAsia"/>
          <w:b/>
          <w:bCs/>
          <w:szCs w:val="21"/>
        </w:rPr>
        <w:t>4</w:t>
      </w:r>
      <w:r>
        <w:rPr>
          <w:rFonts w:hint="eastAsia" w:asciiTheme="minorEastAsia" w:hAnsiTheme="minorEastAsia" w:eastAsiaTheme="minorEastAsia"/>
          <w:b/>
          <w:bCs/>
          <w:szCs w:val="21"/>
        </w:rPr>
        <w:t>月15日前</w:t>
      </w:r>
      <w:r>
        <w:rPr>
          <w:rFonts w:hint="eastAsia"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b/>
          <w:szCs w:val="21"/>
        </w:rPr>
        <w:t>特别提醒：</w:t>
      </w:r>
      <w:r>
        <w:rPr>
          <w:rFonts w:hint="eastAsia" w:asciiTheme="minorEastAsia" w:hAnsiTheme="minorEastAsia" w:eastAsiaTheme="minorEastAsia"/>
          <w:szCs w:val="21"/>
        </w:rPr>
        <w:t>所有参评20</w:t>
      </w:r>
      <w:r>
        <w:rPr>
          <w:rFonts w:asciiTheme="minorEastAsia" w:hAnsiTheme="minorEastAsia" w:eastAsiaTheme="minorEastAsia"/>
          <w:szCs w:val="21"/>
        </w:rPr>
        <w:t>2</w:t>
      </w:r>
      <w:r>
        <w:rPr>
          <w:rFonts w:hint="eastAsia" w:asciiTheme="minorEastAsia" w:hAnsiTheme="minorEastAsia" w:eastAsiaTheme="minorEastAsia"/>
          <w:szCs w:val="21"/>
        </w:rPr>
        <w:t>3年度中国奥莱颁奖盛典的企业（项目/品牌）均须在营业期内无违规操作，无不良经营记录，无不良信用记录等且无恶性债务、产权纠纷等记录。</w:t>
      </w:r>
    </w:p>
    <w:p>
      <w:pPr>
        <w:spacing w:line="360" w:lineRule="auto"/>
        <w:ind w:firstLine="840" w:firstLineChars="400"/>
        <w:rPr>
          <w:rFonts w:asciiTheme="minorEastAsia" w:hAnsiTheme="minorEastAsia" w:eastAsiaTheme="minorEastAsia"/>
          <w:szCs w:val="21"/>
        </w:rPr>
      </w:pPr>
    </w:p>
    <w:p>
      <w:pPr>
        <w:spacing w:line="360" w:lineRule="auto"/>
        <w:jc w:val="center"/>
        <w:rPr>
          <w:rFonts w:ascii="微软雅黑" w:hAnsi="微软雅黑" w:eastAsia="微软雅黑"/>
          <w:b/>
          <w:szCs w:val="21"/>
        </w:rPr>
      </w:pPr>
      <w:r>
        <w:rPr>
          <w:rFonts w:hint="eastAsia" w:ascii="微软雅黑" w:hAnsi="微软雅黑" w:eastAsia="微软雅黑"/>
          <w:b/>
          <w:szCs w:val="21"/>
        </w:rPr>
        <w:t>2</w:t>
      </w:r>
      <w:r>
        <w:rPr>
          <w:rFonts w:ascii="微软雅黑" w:hAnsi="微软雅黑" w:eastAsia="微软雅黑"/>
          <w:b/>
          <w:szCs w:val="21"/>
        </w:rPr>
        <w:t>02</w:t>
      </w:r>
      <w:r>
        <w:rPr>
          <w:rFonts w:hint="eastAsia" w:ascii="微软雅黑" w:hAnsi="微软雅黑" w:eastAsia="微软雅黑"/>
          <w:b/>
          <w:szCs w:val="21"/>
        </w:rPr>
        <w:t>3年度中国奥莱奖项参评报名表</w:t>
      </w:r>
    </w:p>
    <w:p>
      <w:pPr>
        <w:spacing w:line="360" w:lineRule="auto"/>
        <w:rPr>
          <w:rFonts w:ascii="微软雅黑" w:hAnsi="微软雅黑" w:eastAsia="微软雅黑"/>
          <w:szCs w:val="21"/>
          <w:u w:val="single"/>
        </w:rPr>
      </w:pPr>
      <w:r>
        <w:rPr>
          <w:rFonts w:hint="eastAsia" w:ascii="微软雅黑" w:hAnsi="微软雅黑" w:eastAsia="微软雅黑"/>
          <w:szCs w:val="21"/>
        </w:rPr>
        <w:t>企业名称：</w:t>
      </w:r>
      <w:r>
        <w:rPr>
          <w:rFonts w:hint="eastAsia" w:ascii="微软雅黑" w:hAnsi="微软雅黑" w:eastAsia="微软雅黑"/>
          <w:szCs w:val="21"/>
          <w:u w:val="single"/>
        </w:rPr>
        <w:t xml:space="preserve"> </w:t>
      </w:r>
      <w:r>
        <w:rPr>
          <w:rFonts w:ascii="微软雅黑" w:hAnsi="微软雅黑" w:eastAsia="微软雅黑"/>
          <w:szCs w:val="21"/>
          <w:u w:val="single"/>
        </w:rPr>
        <w:t xml:space="preserve">                          </w:t>
      </w:r>
    </w:p>
    <w:p>
      <w:pPr>
        <w:spacing w:line="360" w:lineRule="auto"/>
        <w:rPr>
          <w:rFonts w:ascii="微软雅黑" w:hAnsi="微软雅黑" w:eastAsia="微软雅黑"/>
          <w:szCs w:val="21"/>
          <w:u w:val="single"/>
        </w:rPr>
      </w:pPr>
      <w:r>
        <w:rPr>
          <w:rFonts w:hint="eastAsia" w:ascii="微软雅黑" w:hAnsi="微软雅黑" w:eastAsia="微软雅黑"/>
          <w:szCs w:val="21"/>
        </w:rPr>
        <w:t>奖项参评指定联系人：</w:t>
      </w:r>
      <w:r>
        <w:rPr>
          <w:rFonts w:hint="eastAsia" w:ascii="微软雅黑" w:hAnsi="微软雅黑" w:eastAsia="微软雅黑"/>
          <w:szCs w:val="21"/>
          <w:u w:val="single"/>
        </w:rPr>
        <w:t xml:space="preserve"> </w:t>
      </w:r>
      <w:r>
        <w:rPr>
          <w:rFonts w:ascii="微软雅黑" w:hAnsi="微软雅黑" w:eastAsia="微软雅黑"/>
          <w:szCs w:val="21"/>
          <w:u w:val="single"/>
        </w:rPr>
        <w:t xml:space="preserve">                                 </w:t>
      </w:r>
      <w:r>
        <w:rPr>
          <w:rFonts w:hint="eastAsia" w:ascii="微软雅黑" w:hAnsi="微软雅黑" w:eastAsia="微软雅黑"/>
          <w:szCs w:val="21"/>
        </w:rPr>
        <w:t>联系方式：</w:t>
      </w:r>
      <w:r>
        <w:rPr>
          <w:rFonts w:hint="eastAsia" w:ascii="微软雅黑" w:hAnsi="微软雅黑" w:eastAsia="微软雅黑"/>
          <w:szCs w:val="21"/>
          <w:u w:val="single"/>
        </w:rPr>
        <w:t xml:space="preserve"> </w:t>
      </w:r>
      <w:r>
        <w:rPr>
          <w:rFonts w:ascii="微软雅黑" w:hAnsi="微软雅黑" w:eastAsia="微软雅黑"/>
          <w:szCs w:val="21"/>
          <w:u w:val="single"/>
        </w:rPr>
        <w:t xml:space="preserve">                          </w:t>
      </w:r>
    </w:p>
    <w:p>
      <w:pPr>
        <w:spacing w:line="360" w:lineRule="auto"/>
        <w:rPr>
          <w:rFonts w:ascii="微软雅黑" w:hAnsi="微软雅黑" w:eastAsia="微软雅黑"/>
          <w:b/>
          <w:bCs/>
          <w:color w:val="002060"/>
          <w:spacing w:val="8"/>
          <w:sz w:val="15"/>
          <w:szCs w:val="15"/>
        </w:rPr>
      </w:pPr>
      <w:r>
        <w:rPr>
          <w:rFonts w:hint="eastAsia" w:ascii="微软雅黑" w:hAnsi="微软雅黑" w:eastAsia="微软雅黑"/>
          <w:szCs w:val="21"/>
        </w:rPr>
        <w:t>参评奖项：(请在参选对应奖项选择上打“✓”可多选，提交资料需对应各参评奖项进行独立提报)</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3221"/>
        <w:gridCol w:w="1204"/>
        <w:gridCol w:w="624"/>
        <w:gridCol w:w="3000"/>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8" w:type="dxa"/>
            <w:gridSpan w:val="6"/>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Cs w:val="21"/>
              </w:rPr>
              <w:t>2023年度中国奥莱奖项参评报名表（首批）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tcPr>
          <w:p>
            <w:pPr>
              <w:spacing w:line="360" w:lineRule="auto"/>
              <w:jc w:val="center"/>
              <w:rPr>
                <w:rFonts w:ascii="微软雅黑" w:hAnsi="微软雅黑" w:eastAsia="微软雅黑"/>
                <w:b/>
                <w:bCs/>
                <w:color w:val="000000" w:themeColor="text1"/>
                <w:spacing w:val="8"/>
                <w:sz w:val="15"/>
                <w:szCs w:val="15"/>
                <w14:textFill>
                  <w14:solidFill>
                    <w14:schemeClr w14:val="tx1"/>
                  </w14:solidFill>
                </w14:textFill>
              </w:rPr>
            </w:pPr>
            <w:r>
              <w:rPr>
                <w:rFonts w:hint="eastAsia" w:ascii="微软雅黑" w:hAnsi="微软雅黑" w:eastAsia="微软雅黑"/>
                <w:b/>
                <w:bCs/>
                <w:color w:val="000000" w:themeColor="text1"/>
                <w:spacing w:val="8"/>
                <w:sz w:val="15"/>
                <w:szCs w:val="15"/>
                <w14:textFill>
                  <w14:solidFill>
                    <w14:schemeClr w14:val="tx1"/>
                  </w14:solidFill>
                </w14:textFill>
              </w:rPr>
              <w:t>编号</w:t>
            </w:r>
          </w:p>
        </w:tc>
        <w:tc>
          <w:tcPr>
            <w:tcW w:w="3221" w:type="dxa"/>
          </w:tcPr>
          <w:p>
            <w:pPr>
              <w:spacing w:line="360" w:lineRule="auto"/>
              <w:jc w:val="center"/>
              <w:rPr>
                <w:rFonts w:ascii="微软雅黑" w:hAnsi="微软雅黑" w:eastAsia="微软雅黑"/>
                <w:b/>
                <w:bCs/>
                <w:color w:val="000000" w:themeColor="text1"/>
                <w:spacing w:val="8"/>
                <w:sz w:val="15"/>
                <w:szCs w:val="15"/>
                <w14:textFill>
                  <w14:solidFill>
                    <w14:schemeClr w14:val="tx1"/>
                  </w14:solidFill>
                </w14:textFill>
              </w:rPr>
            </w:pPr>
            <w:r>
              <w:rPr>
                <w:rFonts w:hint="eastAsia" w:ascii="微软雅黑" w:hAnsi="微软雅黑" w:eastAsia="微软雅黑"/>
                <w:b/>
                <w:bCs/>
                <w:color w:val="000000" w:themeColor="text1"/>
                <w:spacing w:val="8"/>
                <w:sz w:val="15"/>
                <w:szCs w:val="15"/>
                <w14:textFill>
                  <w14:solidFill>
                    <w14:schemeClr w14:val="tx1"/>
                  </w14:solidFill>
                </w14:textFill>
              </w:rPr>
              <w:t>对应奖项</w:t>
            </w:r>
          </w:p>
        </w:tc>
        <w:tc>
          <w:tcPr>
            <w:tcW w:w="1204" w:type="dxa"/>
          </w:tcPr>
          <w:p>
            <w:pPr>
              <w:spacing w:line="360" w:lineRule="auto"/>
              <w:jc w:val="center"/>
              <w:rPr>
                <w:rFonts w:ascii="微软雅黑" w:hAnsi="微软雅黑" w:eastAsia="微软雅黑"/>
                <w:b/>
                <w:bCs/>
                <w:color w:val="000000" w:themeColor="text1"/>
                <w:spacing w:val="8"/>
                <w:sz w:val="15"/>
                <w:szCs w:val="15"/>
                <w14:textFill>
                  <w14:solidFill>
                    <w14:schemeClr w14:val="tx1"/>
                  </w14:solidFill>
                </w14:textFill>
              </w:rPr>
            </w:pPr>
            <w:r>
              <w:rPr>
                <w:rFonts w:hint="eastAsia" w:ascii="微软雅黑" w:hAnsi="微软雅黑" w:eastAsia="微软雅黑"/>
                <w:b/>
                <w:bCs/>
                <w:color w:val="000000" w:themeColor="text1"/>
                <w:spacing w:val="8"/>
                <w:sz w:val="15"/>
                <w:szCs w:val="15"/>
                <w14:textFill>
                  <w14:solidFill>
                    <w14:schemeClr w14:val="tx1"/>
                  </w14:solidFill>
                </w14:textFill>
              </w:rPr>
              <w:t>选择</w:t>
            </w:r>
          </w:p>
        </w:tc>
        <w:tc>
          <w:tcPr>
            <w:tcW w:w="624" w:type="dxa"/>
          </w:tcPr>
          <w:p>
            <w:pPr>
              <w:spacing w:line="360" w:lineRule="auto"/>
              <w:jc w:val="center"/>
              <w:rPr>
                <w:rFonts w:ascii="微软雅黑" w:hAnsi="微软雅黑" w:eastAsia="微软雅黑"/>
                <w:b/>
                <w:bCs/>
                <w:color w:val="000000" w:themeColor="text1"/>
                <w:spacing w:val="8"/>
                <w:sz w:val="15"/>
                <w:szCs w:val="15"/>
                <w14:textFill>
                  <w14:solidFill>
                    <w14:schemeClr w14:val="tx1"/>
                  </w14:solidFill>
                </w14:textFill>
              </w:rPr>
            </w:pPr>
            <w:r>
              <w:rPr>
                <w:rFonts w:hint="eastAsia" w:ascii="微软雅黑" w:hAnsi="微软雅黑" w:eastAsia="微软雅黑"/>
                <w:b/>
                <w:bCs/>
                <w:color w:val="000000" w:themeColor="text1"/>
                <w:spacing w:val="8"/>
                <w:sz w:val="15"/>
                <w:szCs w:val="15"/>
                <w14:textFill>
                  <w14:solidFill>
                    <w14:schemeClr w14:val="tx1"/>
                  </w14:solidFill>
                </w14:textFill>
              </w:rPr>
              <w:t>编号</w:t>
            </w:r>
          </w:p>
        </w:tc>
        <w:tc>
          <w:tcPr>
            <w:tcW w:w="3000" w:type="dxa"/>
          </w:tcPr>
          <w:p>
            <w:pPr>
              <w:spacing w:line="360" w:lineRule="auto"/>
              <w:jc w:val="center"/>
              <w:rPr>
                <w:rFonts w:ascii="微软雅黑" w:hAnsi="微软雅黑" w:eastAsia="微软雅黑"/>
                <w:b/>
                <w:bCs/>
                <w:color w:val="000000" w:themeColor="text1"/>
                <w:spacing w:val="8"/>
                <w:sz w:val="15"/>
                <w:szCs w:val="15"/>
                <w14:textFill>
                  <w14:solidFill>
                    <w14:schemeClr w14:val="tx1"/>
                  </w14:solidFill>
                </w14:textFill>
              </w:rPr>
            </w:pPr>
            <w:r>
              <w:rPr>
                <w:rFonts w:hint="eastAsia" w:ascii="微软雅黑" w:hAnsi="微软雅黑" w:eastAsia="微软雅黑"/>
                <w:b/>
                <w:bCs/>
                <w:color w:val="000000" w:themeColor="text1"/>
                <w:spacing w:val="8"/>
                <w:sz w:val="15"/>
                <w:szCs w:val="15"/>
                <w14:textFill>
                  <w14:solidFill>
                    <w14:schemeClr w14:val="tx1"/>
                  </w14:solidFill>
                </w14:textFill>
              </w:rPr>
              <w:t>对应奖项</w:t>
            </w:r>
          </w:p>
        </w:tc>
        <w:tc>
          <w:tcPr>
            <w:tcW w:w="1361" w:type="dxa"/>
          </w:tcPr>
          <w:p>
            <w:pPr>
              <w:spacing w:line="360" w:lineRule="auto"/>
              <w:jc w:val="center"/>
              <w:rPr>
                <w:rFonts w:ascii="微软雅黑" w:hAnsi="微软雅黑" w:eastAsia="微软雅黑"/>
                <w:b/>
                <w:bCs/>
                <w:color w:val="000000" w:themeColor="text1"/>
                <w:spacing w:val="8"/>
                <w:sz w:val="15"/>
                <w:szCs w:val="15"/>
                <w14:textFill>
                  <w14:solidFill>
                    <w14:schemeClr w14:val="tx1"/>
                  </w14:solidFill>
                </w14:textFill>
              </w:rPr>
            </w:pPr>
            <w:r>
              <w:rPr>
                <w:rFonts w:hint="eastAsia" w:ascii="微软雅黑" w:hAnsi="微软雅黑" w:eastAsia="微软雅黑"/>
                <w:b/>
                <w:bCs/>
                <w:color w:val="000000" w:themeColor="text1"/>
                <w:spacing w:val="8"/>
                <w:sz w:val="15"/>
                <w:szCs w:val="15"/>
                <w14:textFill>
                  <w14:solidFill>
                    <w14:schemeClr w14:val="tx1"/>
                  </w14:solidFill>
                </w14:textFill>
              </w:rPr>
              <w:t>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58"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A1</w:t>
            </w:r>
          </w:p>
        </w:tc>
        <w:tc>
          <w:tcPr>
            <w:tcW w:w="3221"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2023年度新锐奥特莱斯奖</w:t>
            </w:r>
          </w:p>
        </w:tc>
        <w:tc>
          <w:tcPr>
            <w:tcW w:w="1204" w:type="dxa"/>
          </w:tcPr>
          <w:p>
            <w:pPr>
              <w:spacing w:line="360" w:lineRule="auto"/>
              <w:jc w:val="center"/>
              <w:rPr>
                <w:rFonts w:ascii="微软雅黑" w:hAnsi="微软雅黑" w:eastAsia="微软雅黑"/>
                <w:b/>
                <w:bCs/>
                <w:color w:val="002060"/>
                <w:spacing w:val="8"/>
                <w:sz w:val="15"/>
                <w:szCs w:val="15"/>
              </w:rPr>
            </w:pPr>
          </w:p>
        </w:tc>
        <w:tc>
          <w:tcPr>
            <w:tcW w:w="624"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A5</w:t>
            </w:r>
          </w:p>
        </w:tc>
        <w:tc>
          <w:tcPr>
            <w:tcW w:w="3000"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2024-2025年度最具期待奥特莱斯奖</w:t>
            </w:r>
          </w:p>
        </w:tc>
        <w:tc>
          <w:tcPr>
            <w:tcW w:w="1361" w:type="dxa"/>
          </w:tcPr>
          <w:p>
            <w:pPr>
              <w:spacing w:line="360" w:lineRule="auto"/>
              <w:jc w:val="center"/>
              <w:rPr>
                <w:rFonts w:ascii="微软雅黑" w:hAnsi="微软雅黑" w:eastAsia="微软雅黑"/>
                <w:b/>
                <w:bCs/>
                <w:color w:val="002060"/>
                <w:spacing w:val="8"/>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A2</w:t>
            </w:r>
          </w:p>
        </w:tc>
        <w:tc>
          <w:tcPr>
            <w:tcW w:w="3221"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2023年度中国奥特莱斯黑马奖</w:t>
            </w:r>
          </w:p>
        </w:tc>
        <w:tc>
          <w:tcPr>
            <w:tcW w:w="1204" w:type="dxa"/>
          </w:tcPr>
          <w:p>
            <w:pPr>
              <w:spacing w:line="360" w:lineRule="auto"/>
              <w:jc w:val="center"/>
              <w:rPr>
                <w:rFonts w:ascii="微软雅黑" w:hAnsi="微软雅黑" w:eastAsia="微软雅黑"/>
                <w:b/>
                <w:bCs/>
                <w:color w:val="002060"/>
                <w:spacing w:val="8"/>
                <w:sz w:val="15"/>
                <w:szCs w:val="15"/>
              </w:rPr>
            </w:pPr>
          </w:p>
        </w:tc>
        <w:tc>
          <w:tcPr>
            <w:tcW w:w="624"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A6</w:t>
            </w:r>
          </w:p>
        </w:tc>
        <w:tc>
          <w:tcPr>
            <w:tcW w:w="3000"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2023年度中国奥莱短视频运营奖</w:t>
            </w:r>
          </w:p>
        </w:tc>
        <w:tc>
          <w:tcPr>
            <w:tcW w:w="1361" w:type="dxa"/>
          </w:tcPr>
          <w:p>
            <w:pPr>
              <w:spacing w:line="360" w:lineRule="auto"/>
              <w:jc w:val="center"/>
              <w:rPr>
                <w:rFonts w:ascii="微软雅黑" w:hAnsi="微软雅黑" w:eastAsia="微软雅黑"/>
                <w:b/>
                <w:bCs/>
                <w:color w:val="002060"/>
                <w:spacing w:val="8"/>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A3</w:t>
            </w:r>
          </w:p>
        </w:tc>
        <w:tc>
          <w:tcPr>
            <w:tcW w:w="3221"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2023年度中国奥莱商业模式创新奖</w:t>
            </w:r>
          </w:p>
        </w:tc>
        <w:tc>
          <w:tcPr>
            <w:tcW w:w="1204" w:type="dxa"/>
          </w:tcPr>
          <w:p>
            <w:pPr>
              <w:spacing w:line="360" w:lineRule="auto"/>
              <w:jc w:val="center"/>
              <w:rPr>
                <w:rFonts w:ascii="微软雅黑" w:hAnsi="微软雅黑" w:eastAsia="微软雅黑"/>
                <w:b/>
                <w:bCs/>
                <w:color w:val="002060"/>
                <w:spacing w:val="8"/>
                <w:sz w:val="15"/>
                <w:szCs w:val="15"/>
              </w:rPr>
            </w:pPr>
          </w:p>
        </w:tc>
        <w:tc>
          <w:tcPr>
            <w:tcW w:w="624"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A7</w:t>
            </w:r>
          </w:p>
        </w:tc>
        <w:tc>
          <w:tcPr>
            <w:tcW w:w="3000"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2023年度中国优秀品牌奥莱事业部奖</w:t>
            </w:r>
          </w:p>
        </w:tc>
        <w:tc>
          <w:tcPr>
            <w:tcW w:w="1361" w:type="dxa"/>
          </w:tcPr>
          <w:p>
            <w:pPr>
              <w:spacing w:line="360" w:lineRule="auto"/>
              <w:jc w:val="center"/>
              <w:rPr>
                <w:rFonts w:ascii="微软雅黑" w:hAnsi="微软雅黑" w:eastAsia="微软雅黑"/>
                <w:b/>
                <w:bCs/>
                <w:color w:val="002060"/>
                <w:spacing w:val="8"/>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A4</w:t>
            </w:r>
          </w:p>
        </w:tc>
        <w:tc>
          <w:tcPr>
            <w:tcW w:w="3221" w:type="dxa"/>
          </w:tcPr>
          <w:p>
            <w:pPr>
              <w:spacing w:line="360" w:lineRule="auto"/>
              <w:jc w:val="center"/>
              <w:rPr>
                <w:rFonts w:ascii="微软雅黑" w:hAnsi="微软雅黑" w:eastAsia="微软雅黑"/>
                <w:b/>
                <w:bCs/>
                <w:color w:val="002060"/>
                <w:spacing w:val="8"/>
                <w:sz w:val="15"/>
                <w:szCs w:val="15"/>
              </w:rPr>
            </w:pPr>
            <w:r>
              <w:rPr>
                <w:rFonts w:hint="eastAsia" w:ascii="微软雅黑" w:hAnsi="微软雅黑" w:eastAsia="微软雅黑"/>
                <w:b/>
                <w:bCs/>
                <w:color w:val="002060"/>
                <w:spacing w:val="8"/>
                <w:sz w:val="15"/>
                <w:szCs w:val="15"/>
              </w:rPr>
              <w:t>2023年度中国奥莱商业改造大奖</w:t>
            </w:r>
          </w:p>
        </w:tc>
        <w:tc>
          <w:tcPr>
            <w:tcW w:w="1204" w:type="dxa"/>
          </w:tcPr>
          <w:p>
            <w:pPr>
              <w:spacing w:line="360" w:lineRule="auto"/>
              <w:jc w:val="center"/>
              <w:rPr>
                <w:rFonts w:ascii="微软雅黑" w:hAnsi="微软雅黑" w:eastAsia="微软雅黑"/>
                <w:b/>
                <w:bCs/>
                <w:color w:val="002060"/>
                <w:spacing w:val="8"/>
                <w:sz w:val="15"/>
                <w:szCs w:val="15"/>
              </w:rPr>
            </w:pPr>
          </w:p>
        </w:tc>
        <w:tc>
          <w:tcPr>
            <w:tcW w:w="624" w:type="dxa"/>
          </w:tcPr>
          <w:p>
            <w:pPr>
              <w:spacing w:line="360" w:lineRule="auto"/>
              <w:jc w:val="center"/>
              <w:rPr>
                <w:rFonts w:hint="default" w:ascii="微软雅黑" w:hAnsi="微软雅黑" w:eastAsia="微软雅黑"/>
                <w:b/>
                <w:bCs/>
                <w:color w:val="002060"/>
                <w:spacing w:val="8"/>
                <w:sz w:val="15"/>
                <w:szCs w:val="15"/>
                <w:lang w:val="en-US" w:eastAsia="zh-CN"/>
              </w:rPr>
            </w:pPr>
            <w:r>
              <w:rPr>
                <w:rFonts w:hint="eastAsia" w:ascii="微软雅黑" w:hAnsi="微软雅黑" w:eastAsia="微软雅黑"/>
                <w:b/>
                <w:bCs/>
                <w:color w:val="002060"/>
                <w:spacing w:val="8"/>
                <w:sz w:val="15"/>
                <w:szCs w:val="15"/>
                <w:lang w:val="en-US" w:eastAsia="zh-CN"/>
              </w:rPr>
              <w:t>A8</w:t>
            </w:r>
          </w:p>
        </w:tc>
        <w:tc>
          <w:tcPr>
            <w:tcW w:w="3000" w:type="dxa"/>
          </w:tcPr>
          <w:p>
            <w:pPr>
              <w:spacing w:line="360" w:lineRule="auto"/>
              <w:jc w:val="center"/>
              <w:rPr>
                <w:rFonts w:hint="default" w:ascii="微软雅黑" w:hAnsi="微软雅黑" w:eastAsia="微软雅黑"/>
                <w:b/>
                <w:bCs/>
                <w:color w:val="002060"/>
                <w:spacing w:val="8"/>
                <w:sz w:val="15"/>
                <w:szCs w:val="15"/>
                <w:lang w:val="en-US" w:eastAsia="zh-CN"/>
              </w:rPr>
            </w:pPr>
            <w:r>
              <w:rPr>
                <w:rFonts w:hint="eastAsia" w:ascii="微软雅黑" w:hAnsi="微软雅黑" w:eastAsia="微软雅黑"/>
                <w:b/>
                <w:bCs/>
                <w:color w:val="002060"/>
                <w:spacing w:val="8"/>
                <w:sz w:val="15"/>
                <w:szCs w:val="15"/>
                <w:lang w:val="en-US" w:eastAsia="zh-CN"/>
              </w:rPr>
              <w:t>2023年度中国奥莱创新营销奖</w:t>
            </w:r>
          </w:p>
        </w:tc>
        <w:tc>
          <w:tcPr>
            <w:tcW w:w="1361" w:type="dxa"/>
          </w:tcPr>
          <w:p>
            <w:pPr>
              <w:spacing w:line="360" w:lineRule="auto"/>
              <w:jc w:val="center"/>
              <w:rPr>
                <w:rFonts w:ascii="微软雅黑" w:hAnsi="微软雅黑" w:eastAsia="微软雅黑"/>
                <w:b/>
                <w:bCs/>
                <w:color w:val="002060"/>
                <w:spacing w:val="8"/>
                <w:sz w:val="15"/>
                <w:szCs w:val="15"/>
              </w:rPr>
            </w:pPr>
          </w:p>
        </w:tc>
      </w:tr>
    </w:tbl>
    <w:p>
      <w:pPr>
        <w:spacing w:line="360" w:lineRule="auto"/>
        <w:rPr>
          <w:rFonts w:ascii="微软雅黑" w:hAnsi="微软雅黑" w:eastAsia="微软雅黑"/>
          <w:b/>
          <w:sz w:val="28"/>
          <w:szCs w:val="28"/>
        </w:rPr>
      </w:pPr>
      <w:r>
        <w:rPr>
          <w:rFonts w:hint="eastAsia" w:ascii="微软雅黑" w:hAnsi="微软雅黑" w:eastAsia="微软雅黑"/>
          <w:b/>
          <w:bCs/>
          <w:color w:val="002060"/>
          <w:spacing w:val="8"/>
          <w:sz w:val="15"/>
          <w:szCs w:val="15"/>
        </w:rPr>
        <w:t>2</w:t>
      </w:r>
      <w:r>
        <w:rPr>
          <w:rFonts w:ascii="微软雅黑" w:hAnsi="微软雅黑" w:eastAsia="微软雅黑"/>
          <w:b/>
          <w:bCs/>
          <w:color w:val="002060"/>
          <w:spacing w:val="8"/>
          <w:sz w:val="15"/>
          <w:szCs w:val="15"/>
        </w:rPr>
        <w:t>02</w:t>
      </w:r>
      <w:r>
        <w:rPr>
          <w:rFonts w:hint="eastAsia" w:ascii="微软雅黑" w:hAnsi="微软雅黑" w:eastAsia="微软雅黑"/>
          <w:b/>
          <w:bCs/>
          <w:color w:val="002060"/>
          <w:spacing w:val="8"/>
          <w:sz w:val="15"/>
          <w:szCs w:val="15"/>
        </w:rPr>
        <w:t>3年度中国奥莱颁奖盛典评审资料收取邮箱：zzk</w:t>
      </w:r>
      <w:r>
        <w:rPr>
          <w:rFonts w:ascii="微软雅黑" w:hAnsi="微软雅黑" w:eastAsia="微软雅黑"/>
          <w:b/>
          <w:bCs/>
          <w:color w:val="002060"/>
          <w:spacing w:val="8"/>
          <w:sz w:val="15"/>
          <w:szCs w:val="15"/>
        </w:rPr>
        <w:t>@</w:t>
      </w:r>
      <w:r>
        <w:rPr>
          <w:rFonts w:hint="eastAsia" w:ascii="微软雅黑" w:hAnsi="微软雅黑" w:eastAsia="微软雅黑"/>
          <w:b/>
          <w:bCs/>
          <w:color w:val="002060"/>
          <w:spacing w:val="8"/>
          <w:sz w:val="15"/>
          <w:szCs w:val="15"/>
        </w:rPr>
        <w:t>outletscn</w:t>
      </w:r>
      <w:r>
        <w:rPr>
          <w:rFonts w:ascii="微软雅黑" w:hAnsi="微软雅黑" w:eastAsia="微软雅黑"/>
          <w:b/>
          <w:bCs/>
          <w:color w:val="002060"/>
          <w:spacing w:val="8"/>
          <w:sz w:val="15"/>
          <w:szCs w:val="15"/>
        </w:rPr>
        <w:t>.</w:t>
      </w:r>
      <w:r>
        <w:rPr>
          <w:rFonts w:hint="eastAsia" w:ascii="微软雅黑" w:hAnsi="微软雅黑" w:eastAsia="微软雅黑"/>
          <w:b/>
          <w:bCs/>
          <w:color w:val="002060"/>
          <w:spacing w:val="8"/>
          <w:sz w:val="15"/>
          <w:szCs w:val="15"/>
        </w:rPr>
        <w:t>com</w:t>
      </w:r>
      <w:r>
        <w:rPr>
          <w:rFonts w:hint="eastAsia" w:ascii="微软雅黑" w:hAnsi="微软雅黑" w:eastAsia="微软雅黑"/>
          <w:b/>
          <w:bCs/>
          <w:color w:val="002060"/>
          <w:spacing w:val="8"/>
          <w:sz w:val="15"/>
          <w:szCs w:val="15"/>
        </w:rPr>
        <w:br w:type="textWrapping"/>
      </w:r>
      <w:r>
        <w:rPr>
          <w:rFonts w:hint="eastAsia" w:ascii="微软雅黑" w:hAnsi="微软雅黑" w:eastAsia="微软雅黑"/>
          <w:b/>
          <w:bCs/>
          <w:color w:val="002060"/>
          <w:spacing w:val="8"/>
          <w:sz w:val="15"/>
          <w:szCs w:val="15"/>
        </w:rPr>
        <w:t>奖项参选咨询热线：</w:t>
      </w:r>
      <w:r>
        <w:rPr>
          <w:rFonts w:ascii="微软雅黑" w:hAnsi="微软雅黑" w:eastAsia="微软雅黑"/>
          <w:b/>
          <w:bCs/>
          <w:color w:val="002060"/>
          <w:spacing w:val="8"/>
          <w:sz w:val="15"/>
          <w:szCs w:val="15"/>
        </w:rPr>
        <w:t>18675830500</w:t>
      </w:r>
      <w:r>
        <w:rPr>
          <w:rFonts w:hint="eastAsia" w:ascii="微软雅黑" w:hAnsi="微软雅黑" w:eastAsia="微软雅黑"/>
          <w:b/>
          <w:bCs/>
          <w:color w:val="002060"/>
          <w:spacing w:val="8"/>
          <w:sz w:val="15"/>
          <w:szCs w:val="15"/>
        </w:rPr>
        <w:t>，1</w:t>
      </w:r>
      <w:r>
        <w:rPr>
          <w:rFonts w:ascii="微软雅黑" w:hAnsi="微软雅黑" w:eastAsia="微软雅黑"/>
          <w:b/>
          <w:bCs/>
          <w:color w:val="002060"/>
          <w:spacing w:val="8"/>
          <w:sz w:val="15"/>
          <w:szCs w:val="15"/>
        </w:rPr>
        <w:t>8502011185</w:t>
      </w:r>
    </w:p>
    <w:p>
      <w:pPr>
        <w:spacing w:line="360" w:lineRule="auto"/>
        <w:jc w:val="center"/>
        <w:rPr>
          <w:rFonts w:asciiTheme="minorEastAsia" w:hAnsiTheme="minorEastAsia" w:eastAsiaTheme="minorEastAsia"/>
          <w:szCs w:val="21"/>
        </w:rPr>
      </w:pPr>
      <w:r>
        <w:rPr>
          <w:rFonts w:hint="eastAsia" w:ascii="微软雅黑" w:hAnsi="微软雅黑" w:eastAsia="微软雅黑"/>
          <w:b/>
          <w:sz w:val="28"/>
          <w:szCs w:val="28"/>
        </w:rPr>
        <w:t>2</w:t>
      </w:r>
      <w:r>
        <w:rPr>
          <w:rFonts w:ascii="微软雅黑" w:hAnsi="微软雅黑" w:eastAsia="微软雅黑"/>
          <w:b/>
          <w:sz w:val="28"/>
          <w:szCs w:val="28"/>
        </w:rPr>
        <w:t>02</w:t>
      </w:r>
      <w:r>
        <w:rPr>
          <w:rFonts w:hint="eastAsia" w:ascii="微软雅黑" w:hAnsi="微软雅黑" w:eastAsia="微软雅黑"/>
          <w:b/>
          <w:sz w:val="28"/>
          <w:szCs w:val="28"/>
        </w:rPr>
        <w:t>3年度中国奥莱奖项评选说明</w:t>
      </w:r>
    </w:p>
    <w:p>
      <w:pPr>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【年度创新榜】</w:t>
      </w:r>
    </w:p>
    <w:p>
      <w:pPr>
        <w:spacing w:line="360" w:lineRule="auto"/>
        <w:ind w:firstLine="420" w:firstLineChars="200"/>
        <w:rPr>
          <w:rFonts w:ascii="微软雅黑" w:hAnsi="微软雅黑" w:eastAsia="微软雅黑"/>
          <w:b/>
          <w:szCs w:val="21"/>
        </w:rPr>
      </w:pPr>
      <w:r>
        <w:rPr>
          <w:rFonts w:hint="eastAsia" w:ascii="微软雅黑" w:hAnsi="微软雅黑" w:eastAsia="微软雅黑"/>
          <w:b/>
          <w:szCs w:val="21"/>
        </w:rPr>
        <w:t>A</w:t>
      </w:r>
      <w:r>
        <w:rPr>
          <w:rFonts w:ascii="微软雅黑" w:hAnsi="微软雅黑" w:eastAsia="微软雅黑"/>
          <w:b/>
          <w:szCs w:val="21"/>
        </w:rPr>
        <w:t xml:space="preserve">1  </w:t>
      </w:r>
      <w:r>
        <w:rPr>
          <w:rStyle w:val="17"/>
          <w:rFonts w:ascii="微软雅黑" w:hAnsi="微软雅黑" w:eastAsia="微软雅黑"/>
          <w:color w:val="DAB67A"/>
          <w:spacing w:val="8"/>
        </w:rPr>
        <w:t>202</w:t>
      </w:r>
      <w:r>
        <w:rPr>
          <w:rStyle w:val="17"/>
          <w:rFonts w:hint="eastAsia" w:ascii="微软雅黑" w:hAnsi="微软雅黑" w:eastAsia="微软雅黑"/>
          <w:color w:val="DAB67A"/>
          <w:spacing w:val="8"/>
        </w:rPr>
        <w:t>3年度新锐奥特莱斯奖</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重点考量项目开业活跃度、业态完整度、业态新颖性、区域带动性、流通口碑等方面。</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firstLine="420"/>
        <w:rPr>
          <w:rFonts w:asciiTheme="minorEastAsia" w:hAnsiTheme="minorEastAsia" w:eastAsiaTheme="minorEastAsia"/>
          <w:szCs w:val="21"/>
        </w:rPr>
      </w:pPr>
      <w:r>
        <w:rPr>
          <w:rFonts w:hint="eastAsia" w:asciiTheme="minorEastAsia" w:hAnsiTheme="minorEastAsia" w:eastAsiaTheme="minorEastAsia"/>
          <w:szCs w:val="21"/>
        </w:rPr>
        <w:t>仅限20</w:t>
      </w:r>
      <w:r>
        <w:rPr>
          <w:rFonts w:asciiTheme="minorEastAsia" w:hAnsiTheme="minorEastAsia" w:eastAsiaTheme="minorEastAsia"/>
          <w:szCs w:val="21"/>
        </w:rPr>
        <w:t>2</w:t>
      </w:r>
      <w:r>
        <w:rPr>
          <w:rFonts w:hint="eastAsia" w:asciiTheme="minorEastAsia" w:hAnsiTheme="minorEastAsia" w:eastAsiaTheme="minorEastAsia"/>
          <w:szCs w:val="21"/>
        </w:rPr>
        <w:t>3年</w:t>
      </w:r>
      <w:r>
        <w:rPr>
          <w:rFonts w:asciiTheme="minorEastAsia" w:hAnsiTheme="minorEastAsia" w:eastAsiaTheme="minorEastAsia"/>
          <w:szCs w:val="21"/>
        </w:rPr>
        <w:t>5</w:t>
      </w:r>
      <w:r>
        <w:rPr>
          <w:rFonts w:hint="eastAsia" w:asciiTheme="minorEastAsia" w:hAnsiTheme="minorEastAsia" w:eastAsiaTheme="minorEastAsia"/>
          <w:szCs w:val="21"/>
        </w:rPr>
        <w:t>月1日-20</w:t>
      </w:r>
      <w:r>
        <w:rPr>
          <w:rFonts w:asciiTheme="minorEastAsia" w:hAnsiTheme="minorEastAsia" w:eastAsiaTheme="minorEastAsia"/>
          <w:szCs w:val="21"/>
        </w:rPr>
        <w:t>2</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年</w:t>
      </w:r>
      <w:r>
        <w:rPr>
          <w:rFonts w:asciiTheme="minorEastAsia" w:hAnsiTheme="minorEastAsia" w:eastAsiaTheme="minorEastAsia"/>
          <w:szCs w:val="21"/>
        </w:rPr>
        <w:t>4</w:t>
      </w:r>
      <w:r>
        <w:rPr>
          <w:rFonts w:hint="eastAsia" w:asciiTheme="minorEastAsia" w:hAnsiTheme="minorEastAsia" w:eastAsiaTheme="minorEastAsia"/>
          <w:szCs w:val="21"/>
        </w:rPr>
        <w:t>月3</w:t>
      </w:r>
      <w:r>
        <w:rPr>
          <w:rFonts w:asciiTheme="minorEastAsia" w:hAnsiTheme="minorEastAsia" w:eastAsiaTheme="minorEastAsia"/>
          <w:szCs w:val="21"/>
        </w:rPr>
        <w:t>0</w:t>
      </w:r>
      <w:r>
        <w:rPr>
          <w:rFonts w:hint="eastAsia" w:asciiTheme="minorEastAsia" w:hAnsiTheme="minorEastAsia" w:eastAsiaTheme="minorEastAsia"/>
          <w:szCs w:val="21"/>
        </w:rPr>
        <w:t>日期间开业的奥特莱斯项目（包括但不限于新建开发的奥特莱斯项目）</w:t>
      </w:r>
    </w:p>
    <w:p>
      <w:pPr>
        <w:spacing w:line="360" w:lineRule="auto"/>
        <w:ind w:firstLine="420"/>
        <w:rPr>
          <w:rFonts w:asciiTheme="minorEastAsia" w:hAnsiTheme="minorEastAsia" w:eastAsiaTheme="minorEastAsia"/>
          <w:szCs w:val="21"/>
        </w:rPr>
      </w:pPr>
      <w:r>
        <w:rPr>
          <w:rFonts w:hint="eastAsia" w:asciiTheme="minorEastAsia" w:hAnsiTheme="minorEastAsia" w:eastAsiaTheme="minorEastAsia"/>
          <w:szCs w:val="21"/>
        </w:rPr>
        <w:t>参选企业资料提交如下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w:t>
      </w:r>
      <w:r>
        <w:rPr>
          <w:rFonts w:hint="eastAsia" w:asciiTheme="minorEastAsia" w:hAnsiTheme="minorEastAsia" w:eastAsiaTheme="minorEastAsia"/>
          <w:szCs w:val="21"/>
        </w:rPr>
        <w:t>项目具体交通、建筑参数；</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w:t>
      </w:r>
      <w:r>
        <w:rPr>
          <w:rFonts w:hint="eastAsia" w:asciiTheme="minorEastAsia" w:hAnsiTheme="minorEastAsia" w:eastAsiaTheme="minorEastAsia"/>
          <w:szCs w:val="21"/>
        </w:rPr>
        <w:t>项目具体经营数据，包括业态规划详细说明，品牌数量及品牌占比说明；</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w:t>
      </w:r>
      <w:r>
        <w:rPr>
          <w:rFonts w:hint="eastAsia" w:asciiTheme="minorEastAsia" w:hAnsiTheme="minorEastAsia" w:eastAsiaTheme="minorEastAsia"/>
          <w:szCs w:val="21"/>
        </w:rPr>
        <w:t>开业至20</w:t>
      </w:r>
      <w:r>
        <w:rPr>
          <w:rFonts w:asciiTheme="minorEastAsia" w:hAnsiTheme="minorEastAsia" w:eastAsiaTheme="minorEastAsia"/>
          <w:szCs w:val="21"/>
        </w:rPr>
        <w:t>2</w:t>
      </w:r>
      <w:r>
        <w:rPr>
          <w:rFonts w:hint="eastAsia" w:asciiTheme="minorEastAsia" w:hAnsiTheme="minorEastAsia" w:eastAsiaTheme="minorEastAsia"/>
          <w:szCs w:val="21"/>
        </w:rPr>
        <w:t>4年</w:t>
      </w:r>
      <w:r>
        <w:rPr>
          <w:rFonts w:asciiTheme="minorEastAsia" w:hAnsiTheme="minorEastAsia" w:eastAsiaTheme="minorEastAsia"/>
          <w:szCs w:val="21"/>
        </w:rPr>
        <w:t>4</w:t>
      </w:r>
      <w:r>
        <w:rPr>
          <w:rFonts w:hint="eastAsia" w:asciiTheme="minorEastAsia" w:hAnsiTheme="minorEastAsia" w:eastAsiaTheme="minorEastAsia"/>
          <w:szCs w:val="21"/>
        </w:rPr>
        <w:t>月3</w:t>
      </w:r>
      <w:r>
        <w:rPr>
          <w:rFonts w:asciiTheme="minorEastAsia" w:hAnsiTheme="minorEastAsia" w:eastAsiaTheme="minorEastAsia"/>
          <w:szCs w:val="21"/>
        </w:rPr>
        <w:t>0</w:t>
      </w:r>
      <w:r>
        <w:rPr>
          <w:rFonts w:hint="eastAsia" w:asciiTheme="minorEastAsia" w:hAnsiTheme="minorEastAsia" w:eastAsiaTheme="minorEastAsia"/>
          <w:szCs w:val="21"/>
        </w:rPr>
        <w:t>日前，发生的业绩指标；</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参详项目VIP客户及微信粉丝数量</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，地区性社会性获奖情况说明。</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Style w:val="17"/>
          <w:rFonts w:ascii="Microsoft YaHei UI" w:hAnsi="Microsoft YaHei UI" w:eastAsia="Microsoft YaHei UI"/>
          <w:color w:val="DAB67A"/>
          <w:spacing w:val="8"/>
        </w:rPr>
      </w:pPr>
      <w:r>
        <w:rPr>
          <w:rFonts w:hint="eastAsia" w:ascii="微软雅黑" w:hAnsi="微软雅黑" w:eastAsia="微软雅黑"/>
          <w:b/>
          <w:szCs w:val="21"/>
        </w:rPr>
        <w:t>A</w:t>
      </w:r>
      <w:r>
        <w:rPr>
          <w:rFonts w:ascii="微软雅黑" w:hAnsi="微软雅黑" w:eastAsia="微软雅黑"/>
          <w:b/>
          <w:szCs w:val="21"/>
        </w:rPr>
        <w:t>2</w:t>
      </w:r>
      <w:r>
        <w:rPr>
          <w:rFonts w:hint="eastAsia" w:ascii="微软雅黑" w:hAnsi="微软雅黑" w:eastAsia="微软雅黑"/>
          <w:b/>
          <w:szCs w:val="21"/>
        </w:rPr>
        <w:t xml:space="preserve"> </w:t>
      </w:r>
      <w:r>
        <w:rPr>
          <w:rFonts w:asciiTheme="minorEastAsia" w:hAnsiTheme="minorEastAsia" w:eastAsiaTheme="minorEastAsia"/>
          <w:b/>
          <w:szCs w:val="21"/>
        </w:rPr>
        <w:t xml:space="preserve"> </w:t>
      </w:r>
      <w:r>
        <w:rPr>
          <w:rStyle w:val="17"/>
          <w:rFonts w:hint="eastAsia" w:ascii="Microsoft YaHei UI" w:hAnsi="Microsoft YaHei UI" w:eastAsia="Microsoft YaHei UI"/>
          <w:color w:val="DAB67A"/>
          <w:spacing w:val="8"/>
        </w:rPr>
        <w:t>20</w:t>
      </w:r>
      <w:r>
        <w:rPr>
          <w:rStyle w:val="17"/>
          <w:rFonts w:ascii="Microsoft YaHei UI" w:hAnsi="Microsoft YaHei UI" w:eastAsia="Microsoft YaHei UI"/>
          <w:color w:val="DAB67A"/>
          <w:spacing w:val="8"/>
        </w:rPr>
        <w:t>2</w:t>
      </w:r>
      <w:r>
        <w:rPr>
          <w:rStyle w:val="17"/>
          <w:rFonts w:hint="eastAsia" w:ascii="Microsoft YaHei UI" w:hAnsi="Microsoft YaHei UI" w:eastAsia="Microsoft YaHei UI"/>
          <w:color w:val="DAB67A"/>
          <w:spacing w:val="8"/>
        </w:rPr>
        <w:t>3年度中国奥特莱斯黑马</w:t>
      </w:r>
      <w:r>
        <w:rPr>
          <w:rStyle w:val="17"/>
          <w:rFonts w:hint="eastAsia" w:ascii="微软雅黑" w:hAnsi="微软雅黑" w:eastAsia="微软雅黑"/>
          <w:color w:val="DAB67A"/>
          <w:spacing w:val="8"/>
        </w:rPr>
        <w:t>奖</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重点考量项目开业至今的增长、业态/品牌优化和消费号召力、营销能力等综合整体能力异常突出者。</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仅20</w:t>
      </w:r>
      <w:r>
        <w:rPr>
          <w:rFonts w:asciiTheme="minorEastAsia" w:hAnsiTheme="minorEastAsia" w:eastAsiaTheme="minorEastAsia"/>
          <w:szCs w:val="21"/>
        </w:rPr>
        <w:t>2</w:t>
      </w:r>
      <w:r>
        <w:rPr>
          <w:rFonts w:hint="eastAsia" w:asciiTheme="minorEastAsia" w:hAnsiTheme="minorEastAsia" w:eastAsiaTheme="minorEastAsia"/>
          <w:szCs w:val="21"/>
        </w:rPr>
        <w:t>1年1月1日后开业的（颁奖日前仍在正常运营）奥特莱斯项目</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参选企业资料提交如下</w:t>
      </w:r>
    </w:p>
    <w:p>
      <w:pPr>
        <w:pStyle w:val="28"/>
        <w:numPr>
          <w:ilvl w:val="0"/>
          <w:numId w:val="2"/>
        </w:numPr>
        <w:spacing w:line="360" w:lineRule="auto"/>
        <w:ind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项目具体交通、建筑参数</w:t>
      </w:r>
    </w:p>
    <w:p>
      <w:pPr>
        <w:pStyle w:val="28"/>
        <w:numPr>
          <w:ilvl w:val="0"/>
          <w:numId w:val="2"/>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项目图片（高清版）</w:t>
      </w:r>
    </w:p>
    <w:p>
      <w:pPr>
        <w:pStyle w:val="28"/>
        <w:numPr>
          <w:ilvl w:val="0"/>
          <w:numId w:val="2"/>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项目开业至今每年销售业绩（项目开业不足一年的，提供开业至今每月销售业绩）经营面积数据</w:t>
      </w:r>
    </w:p>
    <w:p>
      <w:pPr>
        <w:pStyle w:val="28"/>
        <w:numPr>
          <w:ilvl w:val="0"/>
          <w:numId w:val="2"/>
        </w:numPr>
        <w:spacing w:line="360" w:lineRule="auto"/>
        <w:ind w:firstLineChars="0"/>
        <w:rPr>
          <w:rFonts w:asciiTheme="minorEastAsia" w:hAnsiTheme="minorEastAsia" w:eastAsiaTheme="minorEastAsia"/>
          <w:szCs w:val="21"/>
        </w:rPr>
      </w:pPr>
      <w:r>
        <w:rPr>
          <w:rFonts w:hint="eastAsia" w:cs="Times New Roman" w:asciiTheme="minorEastAsia" w:hAnsiTheme="minorEastAsia" w:eastAsiaTheme="minorEastAsia"/>
          <w:color w:val="000000"/>
          <w:sz w:val="21"/>
          <w:szCs w:val="21"/>
        </w:rPr>
        <w:t>重要品牌及业态布局情况及说明</w:t>
      </w:r>
    </w:p>
    <w:p>
      <w:pPr>
        <w:pStyle w:val="28"/>
        <w:numPr>
          <w:ilvl w:val="0"/>
          <w:numId w:val="2"/>
        </w:numPr>
        <w:spacing w:line="360" w:lineRule="auto"/>
        <w:ind w:firstLineChars="0"/>
        <w:rPr>
          <w:rFonts w:asciiTheme="minorEastAsia" w:hAnsiTheme="minorEastAsia" w:eastAsiaTheme="minorEastAsia"/>
          <w:szCs w:val="21"/>
        </w:rPr>
      </w:pPr>
      <w:r>
        <w:rPr>
          <w:rFonts w:hint="eastAsia" w:asciiTheme="minorEastAsia" w:hAnsiTheme="minorEastAsia" w:eastAsiaTheme="minorEastAsia"/>
          <w:szCs w:val="21"/>
        </w:rPr>
        <w:t>地区性社会性获奖情况说明</w:t>
      </w:r>
    </w:p>
    <w:p>
      <w:pPr>
        <w:pStyle w:val="28"/>
        <w:spacing w:line="360" w:lineRule="auto"/>
        <w:ind w:firstLine="0" w:firstLineChars="0"/>
        <w:rPr>
          <w:rFonts w:asciiTheme="minorEastAsia" w:hAnsiTheme="minorEastAsia" w:eastAsiaTheme="minorEastAsia"/>
          <w:szCs w:val="21"/>
        </w:rPr>
      </w:pPr>
    </w:p>
    <w:p>
      <w:pPr>
        <w:pStyle w:val="13"/>
        <w:shd w:val="clear" w:color="auto" w:fill="FFFFFF"/>
        <w:spacing w:before="0" w:beforeAutospacing="0" w:after="0" w:afterAutospacing="0" w:line="420" w:lineRule="atLeast"/>
        <w:ind w:right="405" w:firstLine="226" w:firstLineChars="100"/>
        <w:rPr>
          <w:rFonts w:ascii="Microsoft YaHei UI" w:hAnsi="Microsoft YaHei UI" w:eastAsia="Microsoft YaHei UI"/>
          <w:color w:val="333333"/>
          <w:spacing w:val="8"/>
        </w:rPr>
      </w:pPr>
      <w:r>
        <w:rPr>
          <w:rStyle w:val="17"/>
          <w:rFonts w:hint="eastAsia" w:ascii="Microsoft YaHei UI" w:hAnsi="Microsoft YaHei UI" w:eastAsia="Microsoft YaHei UI"/>
          <w:color w:val="000000" w:themeColor="text1"/>
          <w:spacing w:val="8"/>
          <w:sz w:val="21"/>
          <w:szCs w:val="21"/>
          <w14:textFill>
            <w14:solidFill>
              <w14:schemeClr w14:val="tx1"/>
            </w14:solidFill>
          </w14:textFill>
        </w:rPr>
        <w:t>A3 </w:t>
      </w:r>
      <w:r>
        <w:rPr>
          <w:rStyle w:val="17"/>
          <w:rFonts w:hint="eastAsia" w:ascii="Microsoft YaHei UI" w:hAnsi="Microsoft YaHei UI" w:eastAsia="Microsoft YaHei UI"/>
          <w:color w:val="000000" w:themeColor="text1"/>
          <w:spacing w:val="8"/>
          <w14:textFill>
            <w14:solidFill>
              <w14:schemeClr w14:val="tx1"/>
            </w14:solidFill>
          </w14:textFill>
        </w:rPr>
        <w:t xml:space="preserve"> </w:t>
      </w:r>
      <w:r>
        <w:rPr>
          <w:rStyle w:val="17"/>
          <w:rFonts w:hint="eastAsia" w:ascii="Microsoft YaHei UI" w:hAnsi="Microsoft YaHei UI" w:eastAsia="Microsoft YaHei UI"/>
          <w:color w:val="DAB67A"/>
          <w:spacing w:val="8"/>
        </w:rPr>
        <w:t> 2023年度中国奥莱商业模式创新奖</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重点考量项目对行业商业模式的创新程度以及对当地零售商业升级的推动贡献。</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限</w:t>
      </w:r>
      <w:r>
        <w:rPr>
          <w:rFonts w:asciiTheme="minorEastAsia" w:hAnsiTheme="minorEastAsia" w:eastAsiaTheme="minorEastAsia"/>
          <w:szCs w:val="21"/>
        </w:rPr>
        <w:t>202</w:t>
      </w:r>
      <w:r>
        <w:rPr>
          <w:rFonts w:hint="eastAsia" w:asciiTheme="minorEastAsia" w:hAnsiTheme="minorEastAsia" w:eastAsiaTheme="minorEastAsia"/>
          <w:szCs w:val="21"/>
        </w:rPr>
        <w:t>3年</w:t>
      </w:r>
      <w:r>
        <w:rPr>
          <w:rFonts w:asciiTheme="minorEastAsia" w:hAnsiTheme="minorEastAsia" w:eastAsiaTheme="minorEastAsia"/>
          <w:szCs w:val="21"/>
        </w:rPr>
        <w:t>5</w:t>
      </w:r>
      <w:r>
        <w:rPr>
          <w:rFonts w:hint="eastAsia" w:asciiTheme="minorEastAsia" w:hAnsiTheme="minorEastAsia" w:eastAsiaTheme="minorEastAsia"/>
          <w:szCs w:val="21"/>
        </w:rPr>
        <w:t>月</w:t>
      </w:r>
      <w:r>
        <w:rPr>
          <w:rFonts w:asciiTheme="minorEastAsia" w:hAnsiTheme="minorEastAsia" w:eastAsiaTheme="minorEastAsia"/>
          <w:szCs w:val="21"/>
        </w:rPr>
        <w:t>1</w:t>
      </w:r>
      <w:r>
        <w:rPr>
          <w:rFonts w:hint="eastAsia" w:asciiTheme="minorEastAsia" w:hAnsiTheme="minorEastAsia" w:eastAsiaTheme="minorEastAsia"/>
          <w:szCs w:val="21"/>
        </w:rPr>
        <w:t>日至</w:t>
      </w:r>
      <w:r>
        <w:rPr>
          <w:rFonts w:asciiTheme="minorEastAsia" w:hAnsiTheme="minorEastAsia" w:eastAsiaTheme="minorEastAsia"/>
          <w:szCs w:val="21"/>
        </w:rPr>
        <w:t>202</w:t>
      </w:r>
      <w:r>
        <w:rPr>
          <w:rFonts w:hint="eastAsia" w:asciiTheme="minorEastAsia" w:hAnsiTheme="minorEastAsia" w:eastAsiaTheme="minorEastAsia"/>
          <w:szCs w:val="21"/>
        </w:rPr>
        <w:t>4年4月3</w:t>
      </w:r>
      <w:r>
        <w:rPr>
          <w:rFonts w:asciiTheme="minorEastAsia" w:hAnsiTheme="minorEastAsia" w:eastAsiaTheme="minorEastAsia"/>
          <w:szCs w:val="21"/>
        </w:rPr>
        <w:t>0</w:t>
      </w:r>
      <w:r>
        <w:rPr>
          <w:rFonts w:hint="eastAsia" w:asciiTheme="minorEastAsia" w:hAnsiTheme="minorEastAsia" w:eastAsiaTheme="minorEastAsia"/>
          <w:szCs w:val="21"/>
        </w:rPr>
        <w:t>日前开业的奥特莱斯项目</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参选企业资料提交如下：</w:t>
      </w:r>
    </w:p>
    <w:p>
      <w:pPr>
        <w:pStyle w:val="28"/>
        <w:numPr>
          <w:ilvl w:val="0"/>
          <w:numId w:val="3"/>
        </w:numPr>
        <w:spacing w:line="360" w:lineRule="auto"/>
        <w:ind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项目具体交通、建筑参数</w:t>
      </w:r>
    </w:p>
    <w:p>
      <w:pPr>
        <w:pStyle w:val="28"/>
        <w:numPr>
          <w:ilvl w:val="0"/>
          <w:numId w:val="3"/>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项目图片（高清版）</w:t>
      </w:r>
    </w:p>
    <w:p>
      <w:pPr>
        <w:pStyle w:val="28"/>
        <w:numPr>
          <w:ilvl w:val="0"/>
          <w:numId w:val="3"/>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项目开业至今每月销售业绩及经营面积数据</w:t>
      </w:r>
    </w:p>
    <w:p>
      <w:pPr>
        <w:pStyle w:val="28"/>
        <w:numPr>
          <w:ilvl w:val="0"/>
          <w:numId w:val="3"/>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重点改造情况说明</w:t>
      </w:r>
    </w:p>
    <w:p>
      <w:pPr>
        <w:pStyle w:val="28"/>
        <w:numPr>
          <w:ilvl w:val="0"/>
          <w:numId w:val="3"/>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重要品牌及业态调整情况及说明</w:t>
      </w:r>
    </w:p>
    <w:p>
      <w:pPr>
        <w:pStyle w:val="28"/>
        <w:numPr>
          <w:ilvl w:val="0"/>
          <w:numId w:val="3"/>
        </w:numPr>
        <w:spacing w:line="360" w:lineRule="auto"/>
        <w:ind w:firstLineChars="0"/>
        <w:rPr>
          <w:rFonts w:cs="Times New Roman" w:asciiTheme="minorEastAsia" w:hAnsiTheme="minorEastAsia" w:eastAsiaTheme="minorEastAsia"/>
          <w:color w:val="000000"/>
          <w:sz w:val="21"/>
          <w:szCs w:val="21"/>
        </w:rPr>
      </w:pPr>
      <w:r>
        <w:rPr>
          <w:rFonts w:hint="eastAsia" w:asciiTheme="minorEastAsia" w:hAnsiTheme="minorEastAsia" w:eastAsiaTheme="minorEastAsia"/>
          <w:szCs w:val="21"/>
        </w:rPr>
        <w:t>地区性社会性获奖情况说明。</w:t>
      </w:r>
    </w:p>
    <w:p>
      <w:pPr>
        <w:pStyle w:val="28"/>
        <w:spacing w:line="360" w:lineRule="auto"/>
        <w:ind w:left="360" w:firstLine="0" w:firstLineChars="0"/>
        <w:rPr>
          <w:rFonts w:cs="Times New Roman" w:asciiTheme="minorEastAsia" w:hAnsiTheme="minorEastAsia" w:eastAsiaTheme="minorEastAsia"/>
          <w:color w:val="000000"/>
          <w:sz w:val="21"/>
          <w:szCs w:val="21"/>
        </w:rPr>
      </w:pPr>
    </w:p>
    <w:p>
      <w:pPr>
        <w:pStyle w:val="13"/>
        <w:shd w:val="clear" w:color="auto" w:fill="FFFFFF"/>
        <w:spacing w:before="0" w:beforeAutospacing="0" w:after="0" w:afterAutospacing="0" w:line="420" w:lineRule="atLeast"/>
        <w:ind w:right="405" w:firstLine="226" w:firstLineChars="100"/>
        <w:rPr>
          <w:rFonts w:ascii="Microsoft YaHei UI" w:hAnsi="Microsoft YaHei UI" w:eastAsia="Microsoft YaHei UI"/>
          <w:color w:val="333333"/>
          <w:spacing w:val="8"/>
        </w:rPr>
      </w:pPr>
      <w:r>
        <w:rPr>
          <w:rStyle w:val="17"/>
          <w:rFonts w:hint="eastAsia" w:ascii="Microsoft YaHei UI" w:hAnsi="Microsoft YaHei UI" w:eastAsia="Microsoft YaHei UI"/>
          <w:color w:val="000000" w:themeColor="text1"/>
          <w:spacing w:val="8"/>
          <w:sz w:val="21"/>
          <w:szCs w:val="21"/>
          <w14:textFill>
            <w14:solidFill>
              <w14:schemeClr w14:val="tx1"/>
            </w14:solidFill>
          </w14:textFill>
        </w:rPr>
        <w:t>A4 </w:t>
      </w:r>
      <w:r>
        <w:rPr>
          <w:rStyle w:val="17"/>
          <w:rFonts w:hint="eastAsia" w:ascii="Microsoft YaHei UI" w:hAnsi="Microsoft YaHei UI" w:eastAsia="Microsoft YaHei UI"/>
          <w:color w:val="000000" w:themeColor="text1"/>
          <w:spacing w:val="8"/>
          <w14:textFill>
            <w14:solidFill>
              <w14:schemeClr w14:val="tx1"/>
            </w14:solidFill>
          </w14:textFill>
        </w:rPr>
        <w:t xml:space="preserve"> </w:t>
      </w:r>
      <w:r>
        <w:rPr>
          <w:rStyle w:val="17"/>
          <w:rFonts w:hint="eastAsia" w:ascii="Microsoft YaHei UI" w:hAnsi="Microsoft YaHei UI" w:eastAsia="Microsoft YaHei UI"/>
          <w:color w:val="DAB67A"/>
          <w:spacing w:val="8"/>
        </w:rPr>
        <w:t> 2023年度中国奥莱商业改造大奖</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重点考量存量商业改造升级为奥莱后的市场表现及创新程度。</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left="420" w:leftChars="200"/>
        <w:rPr>
          <w:rFonts w:asciiTheme="minorEastAsia" w:hAnsiTheme="minorEastAsia" w:eastAsiaTheme="minorEastAsia"/>
          <w:szCs w:val="21"/>
        </w:rPr>
      </w:pPr>
      <w:r>
        <w:rPr>
          <w:rFonts w:hint="eastAsia" w:asciiTheme="minorEastAsia" w:hAnsiTheme="minorEastAsia" w:eastAsiaTheme="minorEastAsia"/>
          <w:szCs w:val="21"/>
        </w:rPr>
        <w:t>限</w:t>
      </w:r>
      <w:r>
        <w:rPr>
          <w:rFonts w:asciiTheme="minorEastAsia" w:hAnsiTheme="minorEastAsia" w:eastAsiaTheme="minorEastAsia"/>
          <w:szCs w:val="21"/>
        </w:rPr>
        <w:t>202</w:t>
      </w:r>
      <w:r>
        <w:rPr>
          <w:rFonts w:hint="eastAsia" w:asciiTheme="minorEastAsia" w:hAnsiTheme="minorEastAsia" w:eastAsiaTheme="minorEastAsia"/>
          <w:szCs w:val="21"/>
        </w:rPr>
        <w:t>3年</w:t>
      </w:r>
      <w:r>
        <w:rPr>
          <w:rFonts w:asciiTheme="minorEastAsia" w:hAnsiTheme="minorEastAsia" w:eastAsiaTheme="minorEastAsia"/>
          <w:szCs w:val="21"/>
        </w:rPr>
        <w:t>5</w:t>
      </w:r>
      <w:r>
        <w:rPr>
          <w:rFonts w:hint="eastAsia" w:asciiTheme="minorEastAsia" w:hAnsiTheme="minorEastAsia" w:eastAsiaTheme="minorEastAsia"/>
          <w:szCs w:val="21"/>
        </w:rPr>
        <w:t>月</w:t>
      </w:r>
      <w:r>
        <w:rPr>
          <w:rFonts w:asciiTheme="minorEastAsia" w:hAnsiTheme="minorEastAsia" w:eastAsiaTheme="minorEastAsia"/>
          <w:szCs w:val="21"/>
        </w:rPr>
        <w:t>1</w:t>
      </w:r>
      <w:r>
        <w:rPr>
          <w:rFonts w:hint="eastAsia" w:asciiTheme="minorEastAsia" w:hAnsiTheme="minorEastAsia" w:eastAsiaTheme="minorEastAsia"/>
          <w:szCs w:val="21"/>
        </w:rPr>
        <w:t>日至</w:t>
      </w:r>
      <w:r>
        <w:rPr>
          <w:rFonts w:asciiTheme="minorEastAsia" w:hAnsiTheme="minorEastAsia" w:eastAsiaTheme="minorEastAsia"/>
          <w:szCs w:val="21"/>
        </w:rPr>
        <w:t>202</w:t>
      </w:r>
      <w:r>
        <w:rPr>
          <w:rFonts w:hint="eastAsia" w:asciiTheme="minorEastAsia" w:hAnsiTheme="minorEastAsia" w:eastAsiaTheme="minorEastAsia"/>
          <w:szCs w:val="21"/>
        </w:rPr>
        <w:t>4年4月3</w:t>
      </w:r>
      <w:r>
        <w:rPr>
          <w:rFonts w:asciiTheme="minorEastAsia" w:hAnsiTheme="minorEastAsia" w:eastAsiaTheme="minorEastAsia"/>
          <w:szCs w:val="21"/>
        </w:rPr>
        <w:t>0</w:t>
      </w:r>
      <w:r>
        <w:rPr>
          <w:rFonts w:hint="eastAsia" w:asciiTheme="minorEastAsia" w:hAnsiTheme="minorEastAsia" w:eastAsiaTheme="minorEastAsia"/>
          <w:szCs w:val="21"/>
        </w:rPr>
        <w:t>日前开业的奥特莱斯项目</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参选企业资料提交如下：</w:t>
      </w:r>
    </w:p>
    <w:p>
      <w:pPr>
        <w:pStyle w:val="28"/>
        <w:numPr>
          <w:ilvl w:val="0"/>
          <w:numId w:val="4"/>
        </w:numPr>
        <w:spacing w:line="360" w:lineRule="auto"/>
        <w:ind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项目具体交通、建筑参数</w:t>
      </w:r>
    </w:p>
    <w:p>
      <w:pPr>
        <w:pStyle w:val="28"/>
        <w:numPr>
          <w:ilvl w:val="0"/>
          <w:numId w:val="4"/>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项目图片（高清版）</w:t>
      </w:r>
    </w:p>
    <w:p>
      <w:pPr>
        <w:pStyle w:val="28"/>
        <w:numPr>
          <w:ilvl w:val="0"/>
          <w:numId w:val="4"/>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项目开业至今每月销售业绩及经营面积数据</w:t>
      </w:r>
    </w:p>
    <w:p>
      <w:pPr>
        <w:pStyle w:val="28"/>
        <w:numPr>
          <w:ilvl w:val="0"/>
          <w:numId w:val="4"/>
        </w:numPr>
        <w:spacing w:line="360" w:lineRule="auto"/>
        <w:ind w:firstLineChars="0"/>
        <w:rPr>
          <w:rFonts w:cs="Times New Roman" w:asciiTheme="minorEastAsia" w:hAnsiTheme="minorEastAsia" w:eastAsiaTheme="minorEastAsia"/>
          <w:color w:val="000000"/>
          <w:sz w:val="21"/>
          <w:szCs w:val="21"/>
        </w:rPr>
      </w:pPr>
      <w:r>
        <w:rPr>
          <w:rFonts w:hint="eastAsia" w:cs="Times New Roman" w:asciiTheme="minorEastAsia" w:hAnsiTheme="minorEastAsia" w:eastAsiaTheme="minorEastAsia"/>
          <w:color w:val="000000"/>
          <w:sz w:val="21"/>
          <w:szCs w:val="21"/>
        </w:rPr>
        <w:t>项目外观、动线改造前后对比，重要品牌及业态调整情况及说明</w:t>
      </w:r>
    </w:p>
    <w:p>
      <w:pPr>
        <w:pStyle w:val="28"/>
        <w:numPr>
          <w:ilvl w:val="0"/>
          <w:numId w:val="4"/>
        </w:numPr>
        <w:spacing w:line="360" w:lineRule="auto"/>
        <w:ind w:firstLineChars="0"/>
        <w:rPr>
          <w:rFonts w:cs="Times New Roman" w:asciiTheme="minorEastAsia" w:hAnsiTheme="minorEastAsia" w:eastAsiaTheme="minorEastAsia"/>
          <w:color w:val="000000"/>
          <w:sz w:val="21"/>
          <w:szCs w:val="21"/>
        </w:rPr>
      </w:pPr>
      <w:r>
        <w:rPr>
          <w:rFonts w:hint="eastAsia" w:asciiTheme="minorEastAsia" w:hAnsiTheme="minorEastAsia" w:eastAsiaTheme="minorEastAsia"/>
          <w:szCs w:val="21"/>
        </w:rPr>
        <w:t>地区性社会性获奖情况说明。</w:t>
      </w:r>
    </w:p>
    <w:p>
      <w:pPr>
        <w:pStyle w:val="13"/>
        <w:shd w:val="clear" w:color="auto" w:fill="FFFFFF"/>
        <w:spacing w:before="0" w:beforeAutospacing="0" w:after="0" w:afterAutospacing="0" w:line="420" w:lineRule="atLeast"/>
        <w:ind w:right="405"/>
        <w:rPr>
          <w:rFonts w:cs="Times New Roman" w:asciiTheme="minorEastAsia" w:hAnsiTheme="minorEastAsia" w:eastAsiaTheme="minorEastAsia"/>
          <w:bCs/>
          <w:color w:val="000000"/>
          <w:sz w:val="21"/>
          <w:szCs w:val="21"/>
        </w:rPr>
      </w:pPr>
    </w:p>
    <w:p>
      <w:pPr>
        <w:pStyle w:val="13"/>
        <w:shd w:val="clear" w:color="auto" w:fill="FFFFFF"/>
        <w:spacing w:before="0" w:beforeAutospacing="0" w:after="0" w:afterAutospacing="0" w:line="420" w:lineRule="atLeast"/>
        <w:ind w:right="405" w:firstLine="226" w:firstLineChars="100"/>
        <w:rPr>
          <w:rFonts w:ascii="Microsoft YaHei UI" w:hAnsi="Microsoft YaHei UI" w:eastAsia="Microsoft YaHei UI"/>
          <w:color w:val="333333"/>
          <w:spacing w:val="8"/>
        </w:rPr>
      </w:pPr>
      <w:r>
        <w:rPr>
          <w:rStyle w:val="17"/>
          <w:rFonts w:hint="eastAsia" w:ascii="Microsoft YaHei UI" w:hAnsi="Microsoft YaHei UI" w:eastAsia="Microsoft YaHei UI"/>
          <w:color w:val="000000" w:themeColor="text1"/>
          <w:spacing w:val="8"/>
          <w:sz w:val="21"/>
          <w:szCs w:val="21"/>
          <w14:textFill>
            <w14:solidFill>
              <w14:schemeClr w14:val="tx1"/>
            </w14:solidFill>
          </w14:textFill>
        </w:rPr>
        <w:t>A5 </w:t>
      </w:r>
      <w:r>
        <w:rPr>
          <w:rStyle w:val="17"/>
          <w:rFonts w:hint="eastAsia" w:ascii="Microsoft YaHei UI" w:hAnsi="Microsoft YaHei UI" w:eastAsia="Microsoft YaHei UI"/>
          <w:color w:val="000000" w:themeColor="text1"/>
          <w:spacing w:val="8"/>
          <w14:textFill>
            <w14:solidFill>
              <w14:schemeClr w14:val="tx1"/>
            </w14:solidFill>
          </w14:textFill>
        </w:rPr>
        <w:t xml:space="preserve"> </w:t>
      </w:r>
      <w:r>
        <w:rPr>
          <w:rStyle w:val="17"/>
          <w:rFonts w:hint="eastAsia" w:ascii="Microsoft YaHei UI" w:hAnsi="Microsoft YaHei UI" w:eastAsia="Microsoft YaHei UI"/>
          <w:color w:val="DAB67A"/>
          <w:spacing w:val="8"/>
        </w:rPr>
        <w:t> 2024-</w:t>
      </w:r>
      <w:r>
        <w:rPr>
          <w:rStyle w:val="17"/>
          <w:rFonts w:ascii="Microsoft YaHei UI" w:hAnsi="Microsoft YaHei UI" w:eastAsia="Microsoft YaHei UI"/>
          <w:color w:val="DAB67A"/>
          <w:spacing w:val="8"/>
        </w:rPr>
        <w:t>202</w:t>
      </w:r>
      <w:r>
        <w:rPr>
          <w:rStyle w:val="17"/>
          <w:rFonts w:hint="eastAsia" w:ascii="Microsoft YaHei UI" w:hAnsi="Microsoft YaHei UI" w:eastAsia="Microsoft YaHei UI"/>
          <w:color w:val="DAB67A"/>
          <w:spacing w:val="8"/>
        </w:rPr>
        <w:t>5年度最具期待奥特莱斯奖</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重点考量项目的整体规划布局、区域影响力、模式创新力等方面。</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left="420" w:leftChars="200"/>
        <w:rPr>
          <w:rFonts w:asciiTheme="minorEastAsia" w:hAnsiTheme="minorEastAsia" w:eastAsiaTheme="minorEastAsia"/>
          <w:szCs w:val="21"/>
        </w:rPr>
      </w:pPr>
      <w:r>
        <w:rPr>
          <w:rFonts w:hint="eastAsia" w:asciiTheme="minorEastAsia" w:hAnsiTheme="minorEastAsia" w:eastAsiaTheme="minorEastAsia"/>
          <w:szCs w:val="21"/>
        </w:rPr>
        <w:t>限计划于</w:t>
      </w:r>
      <w:r>
        <w:rPr>
          <w:rFonts w:asciiTheme="minorEastAsia" w:hAnsiTheme="minorEastAsia" w:eastAsiaTheme="minorEastAsia"/>
          <w:szCs w:val="21"/>
        </w:rPr>
        <w:t>202</w:t>
      </w:r>
      <w:r>
        <w:rPr>
          <w:rFonts w:hint="eastAsia" w:asciiTheme="minorEastAsia" w:hAnsiTheme="minorEastAsia" w:eastAsiaTheme="minorEastAsia"/>
          <w:szCs w:val="21"/>
        </w:rPr>
        <w:t>4年</w:t>
      </w:r>
      <w:r>
        <w:rPr>
          <w:rFonts w:asciiTheme="minorEastAsia" w:hAnsiTheme="minorEastAsia" w:eastAsiaTheme="minorEastAsia"/>
          <w:szCs w:val="21"/>
        </w:rPr>
        <w:t>5</w:t>
      </w:r>
      <w:r>
        <w:rPr>
          <w:rFonts w:hint="eastAsia" w:asciiTheme="minorEastAsia" w:hAnsiTheme="minorEastAsia" w:eastAsiaTheme="minorEastAsia"/>
          <w:szCs w:val="21"/>
        </w:rPr>
        <w:t>月</w:t>
      </w:r>
      <w:r>
        <w:rPr>
          <w:rFonts w:asciiTheme="minorEastAsia" w:hAnsiTheme="minorEastAsia" w:eastAsiaTheme="minorEastAsia"/>
          <w:szCs w:val="21"/>
        </w:rPr>
        <w:t>1</w:t>
      </w:r>
      <w:r>
        <w:rPr>
          <w:rFonts w:hint="eastAsia" w:asciiTheme="minorEastAsia" w:hAnsiTheme="minorEastAsia" w:eastAsiaTheme="minorEastAsia"/>
          <w:szCs w:val="21"/>
        </w:rPr>
        <w:t>日至</w:t>
      </w:r>
      <w:r>
        <w:rPr>
          <w:rFonts w:asciiTheme="minorEastAsia" w:hAnsiTheme="minorEastAsia" w:eastAsiaTheme="minorEastAsia"/>
          <w:szCs w:val="21"/>
        </w:rPr>
        <w:t>202</w:t>
      </w:r>
      <w:r>
        <w:rPr>
          <w:rFonts w:hint="eastAsia" w:asciiTheme="minorEastAsia" w:hAnsiTheme="minorEastAsia" w:eastAsiaTheme="minorEastAsia"/>
          <w:szCs w:val="21"/>
        </w:rPr>
        <w:t>5年4月3</w:t>
      </w:r>
      <w:r>
        <w:rPr>
          <w:rFonts w:asciiTheme="minorEastAsia" w:hAnsiTheme="minorEastAsia" w:eastAsiaTheme="minorEastAsia"/>
          <w:szCs w:val="21"/>
        </w:rPr>
        <w:t>0</w:t>
      </w:r>
      <w:r>
        <w:rPr>
          <w:rFonts w:hint="eastAsia" w:asciiTheme="minorEastAsia" w:hAnsiTheme="minorEastAsia" w:eastAsiaTheme="minorEastAsia"/>
          <w:szCs w:val="21"/>
        </w:rPr>
        <w:t>日前开业的奥特莱斯项目</w:t>
      </w:r>
    </w:p>
    <w:p>
      <w:pPr>
        <w:spacing w:line="360" w:lineRule="auto"/>
        <w:ind w:left="420" w:leftChars="200"/>
        <w:rPr>
          <w:rFonts w:asciiTheme="minorEastAsia" w:hAnsiTheme="minorEastAsia" w:eastAsiaTheme="minorEastAsia"/>
          <w:szCs w:val="21"/>
        </w:rPr>
      </w:pPr>
      <w:r>
        <w:rPr>
          <w:rFonts w:hint="eastAsia" w:asciiTheme="minorEastAsia" w:hAnsiTheme="minorEastAsia" w:eastAsiaTheme="minorEastAsia"/>
          <w:szCs w:val="21"/>
        </w:rPr>
        <w:t>无严重延期开业（屡次开业不成功）情况</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参选企业资料提交如下</w:t>
      </w:r>
    </w:p>
    <w:p>
      <w:pPr>
        <w:numPr>
          <w:ilvl w:val="0"/>
          <w:numId w:val="5"/>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项目具体交通、建筑参数</w:t>
      </w:r>
    </w:p>
    <w:p>
      <w:pPr>
        <w:numPr>
          <w:ilvl w:val="0"/>
          <w:numId w:val="5"/>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项目效果图、概规划图</w:t>
      </w:r>
    </w:p>
    <w:p>
      <w:pPr>
        <w:numPr>
          <w:ilvl w:val="0"/>
          <w:numId w:val="5"/>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项目建设进度说明</w:t>
      </w:r>
    </w:p>
    <w:p>
      <w:pPr>
        <w:numPr>
          <w:ilvl w:val="0"/>
          <w:numId w:val="5"/>
        </w:numPr>
        <w:spacing w:line="360" w:lineRule="auto"/>
        <w:rPr>
          <w:rFonts w:asciiTheme="minorEastAsia" w:hAnsiTheme="minorEastAsia" w:eastAsiaTheme="minorEastAsia"/>
          <w:szCs w:val="21"/>
        </w:rPr>
      </w:pPr>
      <w:r>
        <w:rPr>
          <w:rFonts w:hint="eastAsia" w:asciiTheme="minorEastAsia" w:hAnsiTheme="minorEastAsia" w:eastAsiaTheme="minorEastAsia"/>
          <w:szCs w:val="21"/>
        </w:rPr>
        <w:t>项目特色说明</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pStyle w:val="13"/>
        <w:shd w:val="clear" w:color="auto" w:fill="FFFFFF"/>
        <w:spacing w:before="0" w:beforeAutospacing="0" w:after="0" w:afterAutospacing="0" w:line="420" w:lineRule="atLeast"/>
        <w:ind w:right="405" w:firstLine="452" w:firstLineChars="200"/>
        <w:rPr>
          <w:rStyle w:val="17"/>
          <w:rFonts w:ascii="Microsoft YaHei UI" w:hAnsi="Microsoft YaHei UI" w:eastAsia="Microsoft YaHei UI"/>
          <w:color w:val="DAB67A"/>
          <w:spacing w:val="8"/>
        </w:rPr>
      </w:pPr>
      <w:r>
        <w:rPr>
          <w:rStyle w:val="17"/>
          <w:rFonts w:hint="eastAsia" w:ascii="Microsoft YaHei UI" w:hAnsi="Microsoft YaHei UI" w:eastAsia="Microsoft YaHei UI"/>
          <w:color w:val="000000" w:themeColor="text1"/>
          <w:spacing w:val="8"/>
          <w:sz w:val="21"/>
          <w:szCs w:val="21"/>
          <w14:textFill>
            <w14:solidFill>
              <w14:schemeClr w14:val="tx1"/>
            </w14:solidFill>
          </w14:textFill>
        </w:rPr>
        <w:t>A6 </w:t>
      </w:r>
      <w:r>
        <w:rPr>
          <w:rStyle w:val="17"/>
          <w:rFonts w:hint="eastAsia" w:ascii="Microsoft YaHei UI" w:hAnsi="Microsoft YaHei UI" w:eastAsia="Microsoft YaHei UI"/>
          <w:color w:val="000000" w:themeColor="text1"/>
          <w:spacing w:val="8"/>
          <w14:textFill>
            <w14:solidFill>
              <w14:schemeClr w14:val="tx1"/>
            </w14:solidFill>
          </w14:textFill>
        </w:rPr>
        <w:t xml:space="preserve"> </w:t>
      </w:r>
      <w:r>
        <w:rPr>
          <w:rStyle w:val="17"/>
          <w:rFonts w:hint="eastAsia" w:ascii="Microsoft YaHei UI" w:hAnsi="Microsoft YaHei UI" w:eastAsia="Microsoft YaHei UI"/>
          <w:color w:val="DAB67A"/>
          <w:spacing w:val="8"/>
        </w:rPr>
        <w:t> 2023年度中国奥莱短视频运营奖</w:t>
      </w:r>
    </w:p>
    <w:p>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重点考量项目/品牌线上短视频的基础节日涵盖度，自发节日创新度、跨界IP联名活动丰富度，平台曝光度等方面。</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02</w:t>
      </w:r>
      <w:r>
        <w:rPr>
          <w:rFonts w:hint="eastAsia" w:asciiTheme="minorEastAsia" w:hAnsiTheme="minorEastAsia" w:eastAsiaTheme="minorEastAsia"/>
          <w:szCs w:val="21"/>
        </w:rPr>
        <w:t>3年前已开设的新媒体号（限抖音/快手/微信视频号）</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参选者资料提交如下：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  2023全年度线上自培博主（抖音或快手或微信视频号）营销活动名称、实施日期介绍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 播放量数据，活动图片/视频链接展示</w:t>
      </w:r>
    </w:p>
    <w:p>
      <w:pPr>
        <w:spacing w:line="360" w:lineRule="auto"/>
        <w:ind w:left="360"/>
        <w:rPr>
          <w:rFonts w:asciiTheme="minorEastAsia" w:hAnsiTheme="minorEastAsia" w:eastAsiaTheme="minorEastAsia"/>
          <w:szCs w:val="21"/>
        </w:rPr>
      </w:pPr>
    </w:p>
    <w:p>
      <w:pPr>
        <w:pStyle w:val="13"/>
        <w:shd w:val="clear" w:color="auto" w:fill="FFFFFF"/>
        <w:spacing w:before="0" w:beforeAutospacing="0" w:after="0" w:afterAutospacing="0" w:line="420" w:lineRule="atLeast"/>
        <w:ind w:right="405" w:firstLine="226" w:firstLineChars="100"/>
        <w:rPr>
          <w:rStyle w:val="17"/>
          <w:rFonts w:ascii="Microsoft YaHei UI" w:hAnsi="Microsoft YaHei UI" w:eastAsia="Microsoft YaHei UI"/>
          <w:color w:val="DAB67A"/>
          <w:spacing w:val="8"/>
        </w:rPr>
      </w:pPr>
      <w:r>
        <w:rPr>
          <w:rStyle w:val="17"/>
          <w:rFonts w:hint="eastAsia" w:ascii="Microsoft YaHei UI" w:hAnsi="Microsoft YaHei UI" w:eastAsia="Microsoft YaHei UI"/>
          <w:color w:val="000000" w:themeColor="text1"/>
          <w:spacing w:val="8"/>
          <w:sz w:val="21"/>
          <w:szCs w:val="21"/>
          <w14:textFill>
            <w14:solidFill>
              <w14:schemeClr w14:val="tx1"/>
            </w14:solidFill>
          </w14:textFill>
        </w:rPr>
        <w:t>A7 </w:t>
      </w:r>
      <w:r>
        <w:rPr>
          <w:rStyle w:val="17"/>
          <w:rFonts w:hint="eastAsia" w:ascii="Microsoft YaHei UI" w:hAnsi="Microsoft YaHei UI" w:eastAsia="Microsoft YaHei UI"/>
          <w:color w:val="000000" w:themeColor="text1"/>
          <w:spacing w:val="8"/>
          <w14:textFill>
            <w14:solidFill>
              <w14:schemeClr w14:val="tx1"/>
            </w14:solidFill>
          </w14:textFill>
        </w:rPr>
        <w:t xml:space="preserve"> </w:t>
      </w:r>
      <w:r>
        <w:rPr>
          <w:rStyle w:val="17"/>
          <w:rFonts w:hint="eastAsia" w:ascii="Microsoft YaHei UI" w:hAnsi="Microsoft YaHei UI" w:eastAsia="Microsoft YaHei UI"/>
          <w:color w:val="DAB67A"/>
          <w:spacing w:val="8"/>
        </w:rPr>
        <w:t> 2023年度中国优秀品牌奥莱事业部奖</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重点考量品牌于全国奥莱渠道完整度、年度全国奥莱整体销售表现、以及全国奥莱推荐量等方面。</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firstLine="420"/>
        <w:rPr>
          <w:rFonts w:asciiTheme="minorEastAsia" w:hAnsiTheme="minorEastAsia" w:eastAsiaTheme="minorEastAsia"/>
          <w:szCs w:val="21"/>
        </w:rPr>
      </w:pPr>
      <w:r>
        <w:rPr>
          <w:rFonts w:hint="eastAsia" w:asciiTheme="minorEastAsia" w:hAnsiTheme="minorEastAsia" w:eastAsiaTheme="minorEastAsia"/>
          <w:szCs w:val="21"/>
        </w:rPr>
        <w:t>全国奥莱门店大于10家</w:t>
      </w:r>
    </w:p>
    <w:p>
      <w:pPr>
        <w:spacing w:line="360" w:lineRule="auto"/>
        <w:ind w:firstLine="420"/>
        <w:rPr>
          <w:rFonts w:asciiTheme="minorEastAsia" w:hAnsiTheme="minorEastAsia" w:eastAsiaTheme="minorEastAsia"/>
          <w:szCs w:val="21"/>
        </w:rPr>
      </w:pPr>
      <w:r>
        <w:rPr>
          <w:rFonts w:hint="eastAsia" w:asciiTheme="minorEastAsia" w:hAnsiTheme="minorEastAsia" w:eastAsiaTheme="minorEastAsia"/>
          <w:szCs w:val="21"/>
        </w:rPr>
        <w:t>奥莱产品线开拓年限不低于5年</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参选企业资料提交如下</w:t>
      </w:r>
    </w:p>
    <w:p>
      <w:pPr>
        <w:spacing w:line="360" w:lineRule="auto"/>
        <w:ind w:firstLine="420"/>
        <w:rPr>
          <w:rFonts w:asciiTheme="minorEastAsia" w:hAnsiTheme="minorEastAsia" w:eastAsiaTheme="minorEastAsia"/>
          <w:szCs w:val="21"/>
        </w:rPr>
      </w:pPr>
      <w:r>
        <w:rPr>
          <w:rFonts w:hint="eastAsia" w:asciiTheme="minorEastAsia" w:hAnsiTheme="minorEastAsia" w:eastAsiaTheme="minorEastAsia"/>
          <w:szCs w:val="21"/>
        </w:rPr>
        <w:t>1.全国奥莱门店部分列表</w:t>
      </w:r>
    </w:p>
    <w:p>
      <w:pPr>
        <w:spacing w:line="360" w:lineRule="auto"/>
        <w:ind w:firstLine="420"/>
        <w:rPr>
          <w:rFonts w:hint="eastAsia" w:asciiTheme="minorEastAsia" w:hAnsiTheme="minorEastAsia" w:eastAsiaTheme="minorEastAsia"/>
          <w:szCs w:val="21"/>
        </w:rPr>
      </w:pPr>
      <w:r>
        <w:rPr>
          <w:rFonts w:hint="eastAsia" w:asciiTheme="minorEastAsia" w:hAnsiTheme="minorEastAsia" w:eastAsiaTheme="minorEastAsia"/>
          <w:szCs w:val="21"/>
        </w:rPr>
        <w:t>2.全国奥莱年度销售总额及优质门店年销售（前五）</w:t>
      </w:r>
    </w:p>
    <w:p>
      <w:pPr>
        <w:spacing w:line="360" w:lineRule="auto"/>
        <w:ind w:firstLine="420"/>
        <w:rPr>
          <w:rFonts w:hint="eastAsia" w:asciiTheme="minorEastAsia" w:hAnsiTheme="minorEastAsia" w:eastAsiaTheme="minorEastAsia"/>
          <w:szCs w:val="21"/>
        </w:rPr>
      </w:pPr>
    </w:p>
    <w:p>
      <w:pPr>
        <w:pStyle w:val="13"/>
        <w:shd w:val="clear" w:color="auto" w:fill="FFFFFF"/>
        <w:spacing w:before="0" w:beforeAutospacing="0" w:after="0" w:afterAutospacing="0" w:line="420" w:lineRule="atLeast"/>
        <w:ind w:right="405" w:firstLine="452" w:firstLineChars="200"/>
        <w:rPr>
          <w:rStyle w:val="17"/>
          <w:rFonts w:ascii="Microsoft YaHei UI" w:hAnsi="Microsoft YaHei UI" w:eastAsia="Microsoft YaHei UI"/>
          <w:color w:val="DAB67A"/>
          <w:spacing w:val="8"/>
        </w:rPr>
      </w:pPr>
      <w:r>
        <w:rPr>
          <w:rStyle w:val="17"/>
          <w:rFonts w:hint="eastAsia" w:ascii="Microsoft YaHei UI" w:hAnsi="Microsoft YaHei UI" w:eastAsia="Microsoft YaHei UI"/>
          <w:color w:val="000000" w:themeColor="text1"/>
          <w:spacing w:val="8"/>
          <w:sz w:val="21"/>
          <w:szCs w:val="21"/>
          <w14:textFill>
            <w14:solidFill>
              <w14:schemeClr w14:val="tx1"/>
            </w14:solidFill>
          </w14:textFill>
        </w:rPr>
        <w:t>A</w:t>
      </w:r>
      <w:r>
        <w:rPr>
          <w:rStyle w:val="17"/>
          <w:rFonts w:hint="eastAsia" w:ascii="Microsoft YaHei UI" w:hAnsi="Microsoft YaHei UI" w:eastAsia="Microsoft YaHei UI"/>
          <w:color w:val="000000" w:themeColor="text1"/>
          <w:spacing w:val="8"/>
          <w:sz w:val="21"/>
          <w:szCs w:val="21"/>
          <w:lang w:val="en-US" w:eastAsia="zh-CN"/>
          <w14:textFill>
            <w14:solidFill>
              <w14:schemeClr w14:val="tx1"/>
            </w14:solidFill>
          </w14:textFill>
        </w:rPr>
        <w:t>8</w:t>
      </w:r>
      <w:r>
        <w:rPr>
          <w:rStyle w:val="17"/>
          <w:rFonts w:hint="eastAsia" w:ascii="Microsoft YaHei UI" w:hAnsi="Microsoft YaHei UI" w:eastAsia="Microsoft YaHei UI"/>
          <w:color w:val="000000" w:themeColor="text1"/>
          <w:spacing w:val="8"/>
          <w:sz w:val="21"/>
          <w:szCs w:val="21"/>
          <w14:textFill>
            <w14:solidFill>
              <w14:schemeClr w14:val="tx1"/>
            </w14:solidFill>
          </w14:textFill>
        </w:rPr>
        <w:t> </w:t>
      </w:r>
      <w:r>
        <w:rPr>
          <w:rStyle w:val="17"/>
          <w:rFonts w:hint="eastAsia" w:ascii="Microsoft YaHei UI" w:hAnsi="Microsoft YaHei UI" w:eastAsia="Microsoft YaHei UI"/>
          <w:color w:val="000000" w:themeColor="text1"/>
          <w:spacing w:val="8"/>
          <w14:textFill>
            <w14:solidFill>
              <w14:schemeClr w14:val="tx1"/>
            </w14:solidFill>
          </w14:textFill>
        </w:rPr>
        <w:t xml:space="preserve"> </w:t>
      </w:r>
      <w:r>
        <w:rPr>
          <w:rStyle w:val="17"/>
          <w:rFonts w:hint="eastAsia" w:ascii="Microsoft YaHei UI" w:hAnsi="Microsoft YaHei UI" w:eastAsia="Microsoft YaHei UI"/>
          <w:color w:val="DAB67A"/>
          <w:spacing w:val="8"/>
        </w:rPr>
        <w:t> 2023年度中国奥莱</w:t>
      </w:r>
      <w:r>
        <w:rPr>
          <w:rStyle w:val="17"/>
          <w:rFonts w:hint="eastAsia" w:ascii="Microsoft YaHei UI" w:hAnsi="Microsoft YaHei UI" w:eastAsia="Microsoft YaHei UI"/>
          <w:color w:val="DAB67A"/>
          <w:spacing w:val="8"/>
          <w:lang w:val="en-US" w:eastAsia="zh-CN"/>
        </w:rPr>
        <w:t>创新营销</w:t>
      </w:r>
      <w:r>
        <w:rPr>
          <w:rStyle w:val="17"/>
          <w:rFonts w:hint="eastAsia" w:ascii="Microsoft YaHei UI" w:hAnsi="Microsoft YaHei UI" w:eastAsia="Microsoft YaHei UI"/>
          <w:color w:val="DAB67A"/>
          <w:spacing w:val="8"/>
        </w:rPr>
        <w:t>奖</w:t>
      </w:r>
    </w:p>
    <w:p>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重点考量营销活动的区域覆盖率、创意创新度、执行完整度及效果评估等方面。</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参选企业要求：</w:t>
      </w:r>
    </w:p>
    <w:p>
      <w:pPr>
        <w:spacing w:line="360" w:lineRule="auto"/>
        <w:ind w:firstLine="420"/>
        <w:rPr>
          <w:rFonts w:hint="eastAsia" w:asciiTheme="minorEastAsia" w:hAnsiTheme="minorEastAsia" w:eastAsiaTheme="minorEastAsia"/>
          <w:szCs w:val="21"/>
        </w:rPr>
      </w:pPr>
      <w:r>
        <w:rPr>
          <w:rFonts w:hint="eastAsia" w:asciiTheme="minorEastAsia" w:hAnsiTheme="minorEastAsia" w:eastAsiaTheme="minorEastAsia"/>
          <w:szCs w:val="21"/>
        </w:rPr>
        <w:t>限2023年12月31日前开业的奥特莱斯（颁奖日前仍在正常运营）</w:t>
      </w:r>
    </w:p>
    <w:p>
      <w:pPr>
        <w:spacing w:line="360" w:lineRule="auto"/>
        <w:ind w:firstLine="420"/>
        <w:rPr>
          <w:rFonts w:hint="eastAsia"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营销活动已实施并有收益效果支持。营销活动须发生于2023年期间。</w:t>
      </w:r>
    </w:p>
    <w:p>
      <w:pPr>
        <w:spacing w:line="360" w:lineRule="auto"/>
        <w:ind w:firstLine="420"/>
        <w:rPr>
          <w:rFonts w:hint="eastAsia" w:asciiTheme="minorEastAsia" w:hAnsiTheme="minorEastAsia" w:eastAsiaTheme="minorEastAsia"/>
          <w:szCs w:val="21"/>
        </w:rPr>
      </w:pPr>
      <w:r>
        <w:rPr>
          <w:rFonts w:hint="eastAsia" w:asciiTheme="minorEastAsia" w:hAnsiTheme="minorEastAsia" w:eastAsiaTheme="minorEastAsia"/>
          <w:szCs w:val="21"/>
        </w:rPr>
        <w:t>参选企业资料提交如下</w:t>
      </w:r>
    </w:p>
    <w:p>
      <w:pPr>
        <w:spacing w:line="360" w:lineRule="auto"/>
        <w:ind w:firstLine="420"/>
        <w:rPr>
          <w:rFonts w:hint="eastAsia" w:asciiTheme="minorEastAsia" w:hAnsiTheme="minorEastAsia" w:eastAsiaTheme="minorEastAsia"/>
          <w:szCs w:val="21"/>
        </w:rPr>
      </w:pPr>
      <w:r>
        <w:rPr>
          <w:rFonts w:hint="eastAsia" w:asciiTheme="minorEastAsia" w:hAnsiTheme="minorEastAsia" w:eastAsiaTheme="minorEastAsia"/>
          <w:szCs w:val="21"/>
        </w:rPr>
        <w:t>1.项目具体建筑数据，项目图片（高清版）</w:t>
      </w:r>
    </w:p>
    <w:p>
      <w:pPr>
        <w:spacing w:line="360" w:lineRule="auto"/>
        <w:ind w:firstLine="420"/>
        <w:rPr>
          <w:rFonts w:hint="eastAsia" w:asciiTheme="minorEastAsia" w:hAnsiTheme="minorEastAsia" w:eastAsiaTheme="minorEastAsia"/>
          <w:szCs w:val="21"/>
        </w:rPr>
      </w:pPr>
      <w:r>
        <w:rPr>
          <w:rFonts w:hint="eastAsia" w:asciiTheme="minorEastAsia" w:hAnsiTheme="minorEastAsia" w:eastAsiaTheme="minorEastAsia"/>
          <w:szCs w:val="21"/>
        </w:rPr>
        <w:t>2.营销活动创意说明（文字说明），营销活动覆盖率及成果说明（图文版）</w:t>
      </w:r>
    </w:p>
    <w:p>
      <w:pPr>
        <w:widowControl/>
        <w:pBdr>
          <w:bottom w:val="single" w:color="auto" w:sz="4" w:space="0"/>
        </w:pBdr>
        <w:jc w:val="left"/>
        <w:rPr>
          <w:rFonts w:asciiTheme="minorEastAsia" w:hAnsiTheme="minorEastAsia" w:eastAsiaTheme="minorEastAsia"/>
          <w:szCs w:val="21"/>
        </w:rPr>
      </w:pPr>
    </w:p>
    <w:p>
      <w:pPr>
        <w:pStyle w:val="28"/>
        <w:spacing w:line="360" w:lineRule="auto"/>
        <w:ind w:firstLine="0" w:firstLineChars="0"/>
        <w:rPr>
          <w:rFonts w:asciiTheme="minorEastAsia" w:hAnsiTheme="minorEastAsia" w:eastAsiaTheme="minorEastAsia"/>
          <w:sz w:val="21"/>
          <w:szCs w:val="21"/>
        </w:rPr>
      </w:pPr>
    </w:p>
    <w:p>
      <w:pPr>
        <w:pStyle w:val="28"/>
        <w:spacing w:line="36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（以上奖项参评申报请按要求整理，详细资料由参选单位提供盖章确认）</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资料接收邮箱：zzk</w:t>
      </w:r>
      <w:r>
        <w:rPr>
          <w:rFonts w:asciiTheme="minorEastAsia" w:hAnsiTheme="minorEastAsia" w:eastAsiaTheme="minorEastAsia"/>
          <w:szCs w:val="21"/>
        </w:rPr>
        <w:t>@</w:t>
      </w:r>
      <w:r>
        <w:rPr>
          <w:rFonts w:hint="eastAsia" w:asciiTheme="minorEastAsia" w:hAnsiTheme="minorEastAsia" w:eastAsiaTheme="minorEastAsia"/>
          <w:szCs w:val="21"/>
        </w:rPr>
        <w:t>outletscn</w:t>
      </w:r>
      <w:r>
        <w:rPr>
          <w:rFonts w:asciiTheme="minorEastAsia" w:hAnsiTheme="minorEastAsia" w:eastAsiaTheme="minorEastAsia"/>
          <w:szCs w:val="21"/>
        </w:rPr>
        <w:t>.</w:t>
      </w:r>
      <w:r>
        <w:rPr>
          <w:rFonts w:hint="eastAsia" w:asciiTheme="minorEastAsia" w:hAnsiTheme="minorEastAsia" w:eastAsiaTheme="minorEastAsia"/>
          <w:szCs w:val="21"/>
        </w:rPr>
        <w:t>com</w:t>
      </w:r>
      <w:r>
        <w:rPr>
          <w:rFonts w:asciiTheme="minorEastAsia" w:hAnsiTheme="minorEastAsia" w:eastAsiaTheme="minorEastAsia"/>
          <w:szCs w:val="21"/>
        </w:rPr>
        <w:t xml:space="preserve"> </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参评咨询：1</w:t>
      </w:r>
      <w:r>
        <w:rPr>
          <w:rFonts w:asciiTheme="minorEastAsia" w:hAnsiTheme="minorEastAsia" w:eastAsiaTheme="minorEastAsia"/>
          <w:szCs w:val="21"/>
        </w:rPr>
        <w:t>8675830500</w:t>
      </w:r>
      <w:r>
        <w:rPr>
          <w:rFonts w:hint="eastAsia" w:asciiTheme="minorEastAsia" w:hAnsiTheme="minorEastAsia" w:eastAsiaTheme="minorEastAsia"/>
          <w:szCs w:val="21"/>
        </w:rPr>
        <w:t>、</w:t>
      </w:r>
      <w:r>
        <w:rPr>
          <w:rFonts w:asciiTheme="minorEastAsia" w:hAnsiTheme="minorEastAsia" w:eastAsiaTheme="minorEastAsia"/>
          <w:szCs w:val="21"/>
        </w:rPr>
        <w:t>18502011185</w:t>
      </w:r>
    </w:p>
    <w:p>
      <w:pPr>
        <w:spacing w:line="360" w:lineRule="auto"/>
        <w:jc w:val="right"/>
        <w:rPr>
          <w:rFonts w:asciiTheme="minorEastAsia" w:hAnsiTheme="minorEastAsia" w:eastAsiaTheme="minorEastAsia"/>
          <w:b/>
          <w:szCs w:val="21"/>
        </w:rPr>
      </w:pPr>
      <w:r>
        <w:rPr>
          <w:rFonts w:asciiTheme="minorEastAsia" w:hAnsiTheme="minorEastAsia" w:eastAsiaTheme="minorEastAsia"/>
          <w:b/>
          <w:szCs w:val="21"/>
        </w:rPr>
        <w:t>202</w:t>
      </w:r>
      <w:r>
        <w:rPr>
          <w:rFonts w:hint="eastAsia" w:asciiTheme="minorEastAsia" w:hAnsiTheme="minorEastAsia" w:eastAsiaTheme="minorEastAsia"/>
          <w:b/>
          <w:szCs w:val="21"/>
        </w:rPr>
        <w:t>3年度中国奥莱颁奖盛典</w:t>
      </w:r>
    </w:p>
    <w:p>
      <w:pPr>
        <w:spacing w:line="360" w:lineRule="auto"/>
        <w:jc w:val="right"/>
        <w:rPr>
          <w:rFonts w:asciiTheme="minorEastAsia" w:hAnsiTheme="minorEastAsia" w:eastAsiaTheme="minorEastAsia"/>
          <w:b/>
          <w:szCs w:val="21"/>
        </w:rPr>
      </w:pPr>
      <w:r>
        <w:rPr>
          <w:rFonts w:hint="eastAsia" w:asciiTheme="minorEastAsia" w:hAnsiTheme="minorEastAsia" w:eastAsiaTheme="minorEastAsia"/>
          <w:b/>
          <w:szCs w:val="21"/>
        </w:rPr>
        <w:t>评审委员会</w:t>
      </w:r>
    </w:p>
    <w:p>
      <w:pPr>
        <w:spacing w:line="360" w:lineRule="auto"/>
        <w:jc w:val="right"/>
        <w:rPr>
          <w:rFonts w:ascii="微软雅黑" w:hAnsi="微软雅黑" w:eastAsia="微软雅黑"/>
          <w:b/>
          <w:bCs/>
          <w:color w:val="DAB67A"/>
          <w:spacing w:val="8"/>
          <w:sz w:val="15"/>
          <w:szCs w:val="15"/>
        </w:rPr>
      </w:pPr>
      <w:r>
        <w:rPr>
          <w:rFonts w:hint="eastAsia" w:asciiTheme="minorEastAsia" w:hAnsiTheme="minorEastAsia" w:eastAsiaTheme="minorEastAsia"/>
          <w:b/>
          <w:szCs w:val="21"/>
        </w:rPr>
        <w:t>二0二四年三月</w:t>
      </w:r>
    </w:p>
    <w:sectPr>
      <w:headerReference r:id="rId3" w:type="default"/>
      <w:footerReference r:id="rId4" w:type="default"/>
      <w:pgSz w:w="11906" w:h="16838"/>
      <w:pgMar w:top="1440" w:right="1077" w:bottom="1440" w:left="1077" w:header="680"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微软雅黑" w:hAnsi="微软雅黑" w:eastAsia="微软雅黑"/>
        <w:b/>
      </w:rPr>
    </w:pPr>
    <w:r>
      <w:rPr>
        <w:rFonts w:hint="eastAsia" w:ascii="微软雅黑" w:hAnsi="微软雅黑" w:eastAsia="微软雅黑"/>
        <w:b/>
      </w:rPr>
      <w:t>第11届奥莱领秀峰会</w:t>
    </w:r>
  </w:p>
  <w:p>
    <w:pPr>
      <w:pStyle w:val="11"/>
      <w:jc w:val="center"/>
      <w:rPr>
        <w:rFonts w:ascii="微软雅黑" w:hAnsi="微软雅黑" w:eastAsia="微软雅黑"/>
        <w:b/>
      </w:rPr>
    </w:pPr>
    <w:r>
      <w:rPr>
        <w:rFonts w:hint="eastAsia" w:ascii="微软雅黑" w:hAnsi="微软雅黑" w:eastAsia="微软雅黑"/>
        <w:b/>
      </w:rPr>
      <w:t>2</w:t>
    </w:r>
    <w:r>
      <w:rPr>
        <w:rFonts w:ascii="微软雅黑" w:hAnsi="微软雅黑" w:eastAsia="微软雅黑"/>
        <w:b/>
      </w:rPr>
      <w:t>02</w:t>
    </w:r>
    <w:r>
      <w:rPr>
        <w:rFonts w:hint="eastAsia" w:ascii="微软雅黑" w:hAnsi="微软雅黑" w:eastAsia="微软雅黑"/>
        <w:b/>
      </w:rPr>
      <w:t>3年度中国奥莱颁奖盛典</w:t>
    </w:r>
  </w:p>
  <w:p>
    <w:pPr>
      <w:pStyle w:val="11"/>
      <w:jc w:val="center"/>
      <w:rPr>
        <w:rFonts w:ascii="微软雅黑" w:hAnsi="微软雅黑" w:eastAsia="微软雅黑"/>
        <w:b/>
      </w:rPr>
    </w:pPr>
    <w:r>
      <w:rPr>
        <w:rFonts w:hint="eastAsia" w:ascii="微软雅黑" w:hAnsi="微软雅黑" w:eastAsia="微软雅黑"/>
        <w:b/>
      </w:rPr>
      <w:t>组委会</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3675"/>
        <w:tab w:val="center" w:pos="4876"/>
      </w:tabs>
      <w:jc w:val="center"/>
    </w:pPr>
    <w:r>
      <w:rPr>
        <w:rFonts w:hint="eastAsia"/>
      </w:rPr>
      <w:drawing>
        <wp:inline distT="0" distB="0" distL="114300" distR="114300">
          <wp:extent cx="2366645" cy="579120"/>
          <wp:effectExtent l="0" t="0" r="0" b="0"/>
          <wp:docPr id="1" name="图片 1" descr="中国奥莱会-扬子晚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国奥莱会-扬子晚报(1)"/>
                  <pic:cNvPicPr>
                    <a:picLocks noChangeAspect="1"/>
                  </pic:cNvPicPr>
                </pic:nvPicPr>
                <pic:blipFill>
                  <a:blip r:embed="rId1"/>
                  <a:stretch>
                    <a:fillRect/>
                  </a:stretch>
                </pic:blipFill>
                <pic:spPr>
                  <a:xfrm>
                    <a:off x="0" y="0"/>
                    <a:ext cx="2366645" cy="57912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F26EBA"/>
    <w:multiLevelType w:val="multilevel"/>
    <w:tmpl w:val="30F26EBA"/>
    <w:lvl w:ilvl="0" w:tentative="0">
      <w:start w:val="1"/>
      <w:numFmt w:val="decimal"/>
      <w:lvlText w:val="%1."/>
      <w:lvlJc w:val="left"/>
      <w:pPr>
        <w:ind w:left="780" w:hanging="420"/>
      </w:pPr>
      <w:rPr>
        <w:rFonts w:cs="Times New Roman" w:asciiTheme="minorEastAsia" w:hAnsiTheme="minorEastAsia" w:eastAsiaTheme="minorEastAsia"/>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4BAC5D3A"/>
    <w:multiLevelType w:val="multilevel"/>
    <w:tmpl w:val="4BAC5D3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7B2740D"/>
    <w:multiLevelType w:val="multilevel"/>
    <w:tmpl w:val="57B2740D"/>
    <w:lvl w:ilvl="0" w:tentative="0">
      <w:start w:val="1"/>
      <w:numFmt w:val="decimal"/>
      <w:pStyle w:val="2"/>
      <w:lvlText w:val="%1"/>
      <w:lvlJc w:val="left"/>
      <w:rPr>
        <w:rFonts w:ascii="黑体" w:hAnsi="黑体"/>
        <w:b w:val="0"/>
        <w:i w:val="0"/>
        <w:sz w:val="24"/>
      </w:rPr>
    </w:lvl>
    <w:lvl w:ilvl="1" w:tentative="0">
      <w:start w:val="1"/>
      <w:numFmt w:val="decimal"/>
      <w:pStyle w:val="3"/>
      <w:lvlText w:val="%1.%2"/>
      <w:lvlJc w:val="left"/>
      <w:rPr>
        <w:rFonts w:ascii="黑体" w:hAnsi="黑体"/>
        <w:b w:val="0"/>
        <w:i w:val="0"/>
        <w:sz w:val="24"/>
      </w:rPr>
    </w:lvl>
    <w:lvl w:ilvl="2" w:tentative="0">
      <w:start w:val="1"/>
      <w:numFmt w:val="decimal"/>
      <w:pStyle w:val="4"/>
      <w:lvlText w:val="%1.%2.%3"/>
      <w:lvlJc w:val="left"/>
      <w:rPr>
        <w:rFonts w:ascii="黑体" w:hAnsi="黑体"/>
        <w:b w:val="0"/>
        <w:i w:val="0"/>
        <w:sz w:val="24"/>
      </w:rPr>
    </w:lvl>
    <w:lvl w:ilvl="3" w:tentative="0">
      <w:start w:val="1"/>
      <w:numFmt w:val="decimal"/>
      <w:pStyle w:val="5"/>
      <w:lvlText w:val="%1.%2.%3.%4"/>
      <w:lvlJc w:val="left"/>
      <w:rPr>
        <w:rFonts w:ascii="黑体" w:hAnsi="黑体"/>
        <w:b w:val="0"/>
        <w:i w:val="0"/>
        <w:sz w:val="24"/>
      </w:rPr>
    </w:lvl>
    <w:lvl w:ilvl="4" w:tentative="0">
      <w:start w:val="1"/>
      <w:numFmt w:val="decimal"/>
      <w:pStyle w:val="6"/>
      <w:lvlText w:val="%1.%2.%3.%4.%5"/>
      <w:lvlJc w:val="left"/>
      <w:rPr>
        <w:rFonts w:ascii="黑体" w:hAnsi="黑体"/>
        <w:b w:val="0"/>
        <w:i w:val="0"/>
        <w:sz w:val="24"/>
      </w:rPr>
    </w:lvl>
    <w:lvl w:ilvl="5" w:tentative="0">
      <w:start w:val="1"/>
      <w:numFmt w:val="decimal"/>
      <w:pStyle w:val="7"/>
      <w:lvlText w:val="%1.%2.%3.%4.%5.%6"/>
      <w:lvlJc w:val="left"/>
      <w:rPr>
        <w:rFonts w:ascii="黑体" w:hAnsi="黑体"/>
        <w:b w:val="0"/>
        <w:i w:val="0"/>
        <w:sz w:val="24"/>
      </w:rPr>
    </w:lvl>
    <w:lvl w:ilvl="6" w:tentative="0">
      <w:start w:val="1"/>
      <w:numFmt w:val="decimal"/>
      <w:pStyle w:val="8"/>
      <w:lvlText w:val="    （%7）"/>
      <w:lvlJc w:val="left"/>
      <w:rPr>
        <w:rFonts w:ascii="宋体" w:hAnsi="宋体"/>
        <w:b w:val="0"/>
        <w:i w:val="0"/>
        <w:sz w:val="21"/>
      </w:rPr>
    </w:lvl>
    <w:lvl w:ilvl="7" w:tentative="0">
      <w:start w:val="1"/>
      <w:numFmt w:val="lowerLetter"/>
      <w:pStyle w:val="9"/>
      <w:lvlText w:val="（%8）"/>
      <w:lvlJc w:val="left"/>
      <w:rPr>
        <w:rFonts w:ascii="黑体" w:hAnsi="黑体"/>
        <w:b w:val="0"/>
        <w:i w:val="0"/>
        <w:sz w:val="24"/>
      </w:rPr>
    </w:lvl>
    <w:lvl w:ilvl="8" w:tentative="0">
      <w:start w:val="1"/>
      <w:numFmt w:val="lowerRoman"/>
      <w:pStyle w:val="10"/>
      <w:lvlText w:val="（%9）"/>
      <w:lvlJc w:val="left"/>
      <w:rPr>
        <w:rFonts w:ascii="黑体" w:hAnsi="黑体"/>
        <w:b w:val="0"/>
        <w:i w:val="0"/>
        <w:sz w:val="24"/>
      </w:rPr>
    </w:lvl>
  </w:abstractNum>
  <w:abstractNum w:abstractNumId="3">
    <w:nsid w:val="73833583"/>
    <w:multiLevelType w:val="multilevel"/>
    <w:tmpl w:val="73833583"/>
    <w:lvl w:ilvl="0" w:tentative="0">
      <w:start w:val="1"/>
      <w:numFmt w:val="decimal"/>
      <w:lvlText w:val="%1."/>
      <w:lvlJc w:val="left"/>
      <w:pPr>
        <w:ind w:left="780" w:hanging="420"/>
      </w:pPr>
      <w:rPr>
        <w:rFonts w:cs="Times New Roman" w:asciiTheme="minorEastAsia" w:hAnsiTheme="minorEastAsia" w:eastAsiaTheme="minorEastAsia"/>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
    <w:nsid w:val="757E3563"/>
    <w:multiLevelType w:val="multilevel"/>
    <w:tmpl w:val="757E3563"/>
    <w:lvl w:ilvl="0" w:tentative="0">
      <w:start w:val="1"/>
      <w:numFmt w:val="decimal"/>
      <w:lvlText w:val="%1."/>
      <w:lvlJc w:val="left"/>
      <w:pPr>
        <w:ind w:left="780" w:hanging="420"/>
      </w:pPr>
      <w:rPr>
        <w:rFonts w:cs="Times New Roman" w:asciiTheme="minorEastAsia" w:hAnsiTheme="minorEastAsia" w:eastAsiaTheme="minorEastAsia"/>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yZDM0ZjZmODNhNjRlYjBiMWYwNjQ1ZTdlOWI5MTUifQ=="/>
  </w:docVars>
  <w:rsids>
    <w:rsidRoot w:val="00C71123"/>
    <w:rsid w:val="000119E9"/>
    <w:rsid w:val="00041D02"/>
    <w:rsid w:val="000562A4"/>
    <w:rsid w:val="000928F7"/>
    <w:rsid w:val="000F3085"/>
    <w:rsid w:val="00131AF8"/>
    <w:rsid w:val="00155B03"/>
    <w:rsid w:val="0016235F"/>
    <w:rsid w:val="001B5166"/>
    <w:rsid w:val="001C796B"/>
    <w:rsid w:val="001D5BCE"/>
    <w:rsid w:val="001E56B5"/>
    <w:rsid w:val="00202658"/>
    <w:rsid w:val="00242B49"/>
    <w:rsid w:val="002A39DB"/>
    <w:rsid w:val="002A7502"/>
    <w:rsid w:val="002D3774"/>
    <w:rsid w:val="00331E26"/>
    <w:rsid w:val="003630C2"/>
    <w:rsid w:val="00364848"/>
    <w:rsid w:val="00377545"/>
    <w:rsid w:val="003869A2"/>
    <w:rsid w:val="003A2B35"/>
    <w:rsid w:val="003A3F5A"/>
    <w:rsid w:val="003B0B45"/>
    <w:rsid w:val="003C0A71"/>
    <w:rsid w:val="003D2AD3"/>
    <w:rsid w:val="00400F2F"/>
    <w:rsid w:val="0041425F"/>
    <w:rsid w:val="004307DF"/>
    <w:rsid w:val="00445F07"/>
    <w:rsid w:val="004519C3"/>
    <w:rsid w:val="004D085E"/>
    <w:rsid w:val="004F7FC5"/>
    <w:rsid w:val="00515560"/>
    <w:rsid w:val="005726A3"/>
    <w:rsid w:val="00586D67"/>
    <w:rsid w:val="00590536"/>
    <w:rsid w:val="00590D8C"/>
    <w:rsid w:val="005A6995"/>
    <w:rsid w:val="005B7011"/>
    <w:rsid w:val="005B76CD"/>
    <w:rsid w:val="005C5B4A"/>
    <w:rsid w:val="005D093D"/>
    <w:rsid w:val="005D56D4"/>
    <w:rsid w:val="005F1958"/>
    <w:rsid w:val="005F74FE"/>
    <w:rsid w:val="00616955"/>
    <w:rsid w:val="0063151A"/>
    <w:rsid w:val="00634B99"/>
    <w:rsid w:val="0064159B"/>
    <w:rsid w:val="00644999"/>
    <w:rsid w:val="00657D3B"/>
    <w:rsid w:val="006842B5"/>
    <w:rsid w:val="00692F42"/>
    <w:rsid w:val="006C0FCC"/>
    <w:rsid w:val="006C3E4C"/>
    <w:rsid w:val="0070290C"/>
    <w:rsid w:val="007259B0"/>
    <w:rsid w:val="0073676B"/>
    <w:rsid w:val="00765848"/>
    <w:rsid w:val="007868A4"/>
    <w:rsid w:val="007B4868"/>
    <w:rsid w:val="007C050B"/>
    <w:rsid w:val="007C3CDF"/>
    <w:rsid w:val="007F1F84"/>
    <w:rsid w:val="007F30FD"/>
    <w:rsid w:val="0082499D"/>
    <w:rsid w:val="00854467"/>
    <w:rsid w:val="0086108B"/>
    <w:rsid w:val="00861516"/>
    <w:rsid w:val="008B6E24"/>
    <w:rsid w:val="008E5210"/>
    <w:rsid w:val="008F7C1B"/>
    <w:rsid w:val="00912FC2"/>
    <w:rsid w:val="00927BB2"/>
    <w:rsid w:val="00936FDF"/>
    <w:rsid w:val="00942F5F"/>
    <w:rsid w:val="00970AF0"/>
    <w:rsid w:val="00971440"/>
    <w:rsid w:val="009831A1"/>
    <w:rsid w:val="00992F05"/>
    <w:rsid w:val="009B2F91"/>
    <w:rsid w:val="009F60F5"/>
    <w:rsid w:val="00A01F90"/>
    <w:rsid w:val="00A1584E"/>
    <w:rsid w:val="00A176B5"/>
    <w:rsid w:val="00A3248B"/>
    <w:rsid w:val="00A406B1"/>
    <w:rsid w:val="00A534CE"/>
    <w:rsid w:val="00A6322E"/>
    <w:rsid w:val="00A72EB4"/>
    <w:rsid w:val="00A95D02"/>
    <w:rsid w:val="00AA1F09"/>
    <w:rsid w:val="00AA7DCC"/>
    <w:rsid w:val="00AA7F69"/>
    <w:rsid w:val="00AB4522"/>
    <w:rsid w:val="00AC19CD"/>
    <w:rsid w:val="00B56E34"/>
    <w:rsid w:val="00B74EA3"/>
    <w:rsid w:val="00B8704F"/>
    <w:rsid w:val="00BB04F9"/>
    <w:rsid w:val="00BB16FD"/>
    <w:rsid w:val="00BF6759"/>
    <w:rsid w:val="00BF6EB5"/>
    <w:rsid w:val="00C10DA7"/>
    <w:rsid w:val="00C13E5F"/>
    <w:rsid w:val="00C3153E"/>
    <w:rsid w:val="00C37FFE"/>
    <w:rsid w:val="00C45FD0"/>
    <w:rsid w:val="00C4754B"/>
    <w:rsid w:val="00C47E28"/>
    <w:rsid w:val="00C70512"/>
    <w:rsid w:val="00C71123"/>
    <w:rsid w:val="00C8055A"/>
    <w:rsid w:val="00C8750F"/>
    <w:rsid w:val="00CA173C"/>
    <w:rsid w:val="00CB50D5"/>
    <w:rsid w:val="00CB681A"/>
    <w:rsid w:val="00CC2A37"/>
    <w:rsid w:val="00CD5DD2"/>
    <w:rsid w:val="00CE45F4"/>
    <w:rsid w:val="00CE47E4"/>
    <w:rsid w:val="00CE78C7"/>
    <w:rsid w:val="00CE7F3F"/>
    <w:rsid w:val="00CF2419"/>
    <w:rsid w:val="00CF7D96"/>
    <w:rsid w:val="00D111CC"/>
    <w:rsid w:val="00D2749B"/>
    <w:rsid w:val="00D54446"/>
    <w:rsid w:val="00D54A5B"/>
    <w:rsid w:val="00DA1B9D"/>
    <w:rsid w:val="00DB7A96"/>
    <w:rsid w:val="00DC2918"/>
    <w:rsid w:val="00DE7AC4"/>
    <w:rsid w:val="00DF701F"/>
    <w:rsid w:val="00E026B4"/>
    <w:rsid w:val="00E02FA6"/>
    <w:rsid w:val="00E0372F"/>
    <w:rsid w:val="00E213D8"/>
    <w:rsid w:val="00E37150"/>
    <w:rsid w:val="00E406DF"/>
    <w:rsid w:val="00E54281"/>
    <w:rsid w:val="00E646EC"/>
    <w:rsid w:val="00E71087"/>
    <w:rsid w:val="00E733E6"/>
    <w:rsid w:val="00E7755A"/>
    <w:rsid w:val="00E87A27"/>
    <w:rsid w:val="00EA3838"/>
    <w:rsid w:val="00EA4322"/>
    <w:rsid w:val="00EA48C2"/>
    <w:rsid w:val="00ED1D41"/>
    <w:rsid w:val="00EE2F67"/>
    <w:rsid w:val="00F2749C"/>
    <w:rsid w:val="00F32AAC"/>
    <w:rsid w:val="00F410AB"/>
    <w:rsid w:val="00F4729B"/>
    <w:rsid w:val="00F8145F"/>
    <w:rsid w:val="00F81DC9"/>
    <w:rsid w:val="00F87B00"/>
    <w:rsid w:val="00FA17D3"/>
    <w:rsid w:val="00FA7177"/>
    <w:rsid w:val="00FB61FE"/>
    <w:rsid w:val="00FC0E4A"/>
    <w:rsid w:val="00FC5570"/>
    <w:rsid w:val="00FC5626"/>
    <w:rsid w:val="00FE07D1"/>
    <w:rsid w:val="05432019"/>
    <w:rsid w:val="06B64A6C"/>
    <w:rsid w:val="07807554"/>
    <w:rsid w:val="1B58157D"/>
    <w:rsid w:val="1BE063BC"/>
    <w:rsid w:val="1C9442FC"/>
    <w:rsid w:val="1CD53A47"/>
    <w:rsid w:val="1E205195"/>
    <w:rsid w:val="1E8A6AB3"/>
    <w:rsid w:val="20D34C23"/>
    <w:rsid w:val="22854137"/>
    <w:rsid w:val="22A76718"/>
    <w:rsid w:val="26ED7BDF"/>
    <w:rsid w:val="288434E9"/>
    <w:rsid w:val="29F319B0"/>
    <w:rsid w:val="2AD12CAD"/>
    <w:rsid w:val="2D0619FA"/>
    <w:rsid w:val="2E84707B"/>
    <w:rsid w:val="3209538F"/>
    <w:rsid w:val="35A832FF"/>
    <w:rsid w:val="38920D43"/>
    <w:rsid w:val="39974106"/>
    <w:rsid w:val="3BAC5E63"/>
    <w:rsid w:val="3EB92D70"/>
    <w:rsid w:val="401A060A"/>
    <w:rsid w:val="41DA7286"/>
    <w:rsid w:val="4A203CA4"/>
    <w:rsid w:val="4A525E27"/>
    <w:rsid w:val="4CDE213A"/>
    <w:rsid w:val="4DA66A4D"/>
    <w:rsid w:val="4EBD5F65"/>
    <w:rsid w:val="502B6EFE"/>
    <w:rsid w:val="51BC0756"/>
    <w:rsid w:val="51BD06B4"/>
    <w:rsid w:val="52093B53"/>
    <w:rsid w:val="55257392"/>
    <w:rsid w:val="55907A26"/>
    <w:rsid w:val="593908DE"/>
    <w:rsid w:val="5D236F7A"/>
    <w:rsid w:val="5DB70023"/>
    <w:rsid w:val="5EE95525"/>
    <w:rsid w:val="60885CA7"/>
    <w:rsid w:val="622814F0"/>
    <w:rsid w:val="626369CC"/>
    <w:rsid w:val="69F820EF"/>
    <w:rsid w:val="6B245F10"/>
    <w:rsid w:val="70700C31"/>
    <w:rsid w:val="742D6E39"/>
    <w:rsid w:val="7634625D"/>
    <w:rsid w:val="7A505630"/>
    <w:rsid w:val="7D3E79C1"/>
    <w:rsid w:val="7E7A0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link w:val="19"/>
    <w:autoRedefine/>
    <w:qFormat/>
    <w:uiPriority w:val="0"/>
    <w:pPr>
      <w:keepNext/>
      <w:keepLines/>
      <w:numPr>
        <w:ilvl w:val="0"/>
        <w:numId w:val="1"/>
      </w:numPr>
      <w:spacing w:before="200" w:after="180" w:line="360" w:lineRule="atLeast"/>
      <w:jc w:val="left"/>
      <w:outlineLvl w:val="0"/>
    </w:pPr>
    <w:rPr>
      <w:rFonts w:ascii="Arial" w:hAnsi="Arial" w:eastAsia="黑体" w:cs="Arial"/>
      <w:sz w:val="24"/>
    </w:rPr>
  </w:style>
  <w:style w:type="paragraph" w:styleId="3">
    <w:name w:val="heading 2"/>
    <w:basedOn w:val="1"/>
    <w:next w:val="1"/>
    <w:link w:val="20"/>
    <w:autoRedefine/>
    <w:qFormat/>
    <w:uiPriority w:val="0"/>
    <w:pPr>
      <w:keepNext/>
      <w:keepLines/>
      <w:numPr>
        <w:ilvl w:val="1"/>
        <w:numId w:val="1"/>
      </w:numPr>
      <w:spacing w:line="360" w:lineRule="atLeast"/>
      <w:jc w:val="left"/>
      <w:outlineLvl w:val="1"/>
    </w:pPr>
    <w:rPr>
      <w:sz w:val="24"/>
    </w:rPr>
  </w:style>
  <w:style w:type="paragraph" w:styleId="4">
    <w:name w:val="heading 3"/>
    <w:basedOn w:val="1"/>
    <w:next w:val="1"/>
    <w:link w:val="21"/>
    <w:autoRedefine/>
    <w:qFormat/>
    <w:uiPriority w:val="0"/>
    <w:pPr>
      <w:keepNext/>
      <w:keepLines/>
      <w:numPr>
        <w:ilvl w:val="2"/>
        <w:numId w:val="1"/>
      </w:numPr>
      <w:spacing w:line="360" w:lineRule="atLeast"/>
      <w:jc w:val="left"/>
      <w:outlineLvl w:val="2"/>
    </w:pPr>
    <w:rPr>
      <w:sz w:val="24"/>
    </w:rPr>
  </w:style>
  <w:style w:type="paragraph" w:styleId="5">
    <w:name w:val="heading 4"/>
    <w:basedOn w:val="4"/>
    <w:next w:val="1"/>
    <w:link w:val="22"/>
    <w:autoRedefine/>
    <w:qFormat/>
    <w:uiPriority w:val="0"/>
    <w:pPr>
      <w:numPr>
        <w:ilvl w:val="3"/>
      </w:numPr>
      <w:tabs>
        <w:tab w:val="left" w:pos="360"/>
      </w:tabs>
      <w:outlineLvl w:val="3"/>
    </w:pPr>
  </w:style>
  <w:style w:type="paragraph" w:styleId="6">
    <w:name w:val="heading 5"/>
    <w:basedOn w:val="1"/>
    <w:next w:val="1"/>
    <w:link w:val="23"/>
    <w:autoRedefine/>
    <w:qFormat/>
    <w:uiPriority w:val="0"/>
    <w:pPr>
      <w:keepNext/>
      <w:keepLines/>
      <w:numPr>
        <w:ilvl w:val="4"/>
        <w:numId w:val="1"/>
      </w:numPr>
      <w:spacing w:line="360" w:lineRule="atLeast"/>
      <w:jc w:val="left"/>
      <w:outlineLvl w:val="4"/>
    </w:pPr>
    <w:rPr>
      <w:sz w:val="24"/>
    </w:rPr>
  </w:style>
  <w:style w:type="paragraph" w:styleId="7">
    <w:name w:val="heading 6"/>
    <w:basedOn w:val="1"/>
    <w:next w:val="1"/>
    <w:link w:val="24"/>
    <w:autoRedefine/>
    <w:qFormat/>
    <w:uiPriority w:val="0"/>
    <w:pPr>
      <w:keepNext/>
      <w:keepLines/>
      <w:numPr>
        <w:ilvl w:val="5"/>
        <w:numId w:val="1"/>
      </w:numPr>
      <w:spacing w:line="360" w:lineRule="atLeast"/>
      <w:jc w:val="left"/>
      <w:outlineLvl w:val="5"/>
    </w:pPr>
    <w:rPr>
      <w:sz w:val="24"/>
    </w:rPr>
  </w:style>
  <w:style w:type="paragraph" w:styleId="8">
    <w:name w:val="heading 7"/>
    <w:basedOn w:val="1"/>
    <w:next w:val="1"/>
    <w:link w:val="25"/>
    <w:autoRedefine/>
    <w:qFormat/>
    <w:uiPriority w:val="0"/>
    <w:pPr>
      <w:keepNext/>
      <w:keepLines/>
      <w:numPr>
        <w:ilvl w:val="6"/>
        <w:numId w:val="1"/>
      </w:numPr>
      <w:spacing w:line="360" w:lineRule="atLeast"/>
      <w:jc w:val="left"/>
      <w:outlineLvl w:val="6"/>
    </w:pPr>
    <w:rPr>
      <w:sz w:val="24"/>
    </w:rPr>
  </w:style>
  <w:style w:type="paragraph" w:styleId="9">
    <w:name w:val="heading 8"/>
    <w:basedOn w:val="1"/>
    <w:next w:val="1"/>
    <w:link w:val="26"/>
    <w:autoRedefine/>
    <w:qFormat/>
    <w:uiPriority w:val="0"/>
    <w:pPr>
      <w:keepNext/>
      <w:keepLines/>
      <w:numPr>
        <w:ilvl w:val="7"/>
        <w:numId w:val="1"/>
      </w:numPr>
      <w:spacing w:line="360" w:lineRule="atLeast"/>
      <w:jc w:val="left"/>
      <w:outlineLvl w:val="7"/>
    </w:pPr>
    <w:rPr>
      <w:sz w:val="24"/>
    </w:rPr>
  </w:style>
  <w:style w:type="paragraph" w:styleId="10">
    <w:name w:val="heading 9"/>
    <w:basedOn w:val="1"/>
    <w:next w:val="1"/>
    <w:link w:val="27"/>
    <w:autoRedefine/>
    <w:qFormat/>
    <w:uiPriority w:val="0"/>
    <w:pPr>
      <w:keepNext/>
      <w:keepLines/>
      <w:numPr>
        <w:ilvl w:val="8"/>
        <w:numId w:val="1"/>
      </w:numPr>
      <w:spacing w:line="360" w:lineRule="atLeast"/>
      <w:jc w:val="left"/>
      <w:outlineLvl w:val="8"/>
    </w:pPr>
    <w:rPr>
      <w:sz w:val="24"/>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11">
    <w:name w:val="footer"/>
    <w:basedOn w:val="1"/>
    <w:link w:val="30"/>
    <w:autoRedefine/>
    <w:unhideWhenUsed/>
    <w:qFormat/>
    <w:uiPriority w:val="99"/>
    <w:pPr>
      <w:tabs>
        <w:tab w:val="center" w:pos="4153"/>
        <w:tab w:val="right" w:pos="8306"/>
      </w:tabs>
      <w:snapToGrid w:val="0"/>
      <w:jc w:val="left"/>
    </w:pPr>
    <w:rPr>
      <w:sz w:val="18"/>
      <w:szCs w:val="18"/>
    </w:rPr>
  </w:style>
  <w:style w:type="paragraph" w:styleId="12">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unhideWhenUsed/>
    <w:qFormat/>
    <w:uiPriority w:val="99"/>
    <w:pPr>
      <w:widowControl/>
      <w:spacing w:before="100" w:beforeAutospacing="1" w:after="100" w:afterAutospacing="1"/>
      <w:jc w:val="left"/>
    </w:pPr>
    <w:rPr>
      <w:rFonts w:ascii="宋体" w:hAnsi="宋体" w:cs="宋体"/>
      <w:color w:val="auto"/>
      <w:sz w:val="24"/>
    </w:rPr>
  </w:style>
  <w:style w:type="table" w:styleId="15">
    <w:name w:val="Table Grid"/>
    <w:basedOn w:val="1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标题 1 字符"/>
    <w:basedOn w:val="16"/>
    <w:link w:val="2"/>
    <w:autoRedefine/>
    <w:qFormat/>
    <w:uiPriority w:val="0"/>
    <w:rPr>
      <w:rFonts w:ascii="Arial" w:hAnsi="Arial" w:eastAsia="黑体" w:cs="Arial"/>
      <w:color w:val="000000"/>
      <w:sz w:val="24"/>
      <w:szCs w:val="24"/>
    </w:rPr>
  </w:style>
  <w:style w:type="character" w:customStyle="1" w:styleId="20">
    <w:name w:val="标题 2 字符"/>
    <w:basedOn w:val="16"/>
    <w:link w:val="3"/>
    <w:autoRedefine/>
    <w:qFormat/>
    <w:uiPriority w:val="0"/>
    <w:rPr>
      <w:color w:val="000000"/>
      <w:sz w:val="24"/>
      <w:szCs w:val="24"/>
    </w:rPr>
  </w:style>
  <w:style w:type="character" w:customStyle="1" w:styleId="21">
    <w:name w:val="标题 3 字符"/>
    <w:basedOn w:val="16"/>
    <w:link w:val="4"/>
    <w:autoRedefine/>
    <w:qFormat/>
    <w:uiPriority w:val="0"/>
    <w:rPr>
      <w:color w:val="000000"/>
      <w:sz w:val="24"/>
      <w:szCs w:val="24"/>
    </w:rPr>
  </w:style>
  <w:style w:type="character" w:customStyle="1" w:styleId="22">
    <w:name w:val="标题 4 字符"/>
    <w:basedOn w:val="16"/>
    <w:link w:val="5"/>
    <w:autoRedefine/>
    <w:qFormat/>
    <w:uiPriority w:val="0"/>
    <w:rPr>
      <w:color w:val="000000"/>
      <w:sz w:val="24"/>
      <w:szCs w:val="24"/>
    </w:rPr>
  </w:style>
  <w:style w:type="character" w:customStyle="1" w:styleId="23">
    <w:name w:val="标题 5 字符"/>
    <w:basedOn w:val="16"/>
    <w:link w:val="6"/>
    <w:autoRedefine/>
    <w:qFormat/>
    <w:uiPriority w:val="0"/>
    <w:rPr>
      <w:color w:val="000000"/>
      <w:sz w:val="24"/>
      <w:szCs w:val="24"/>
    </w:rPr>
  </w:style>
  <w:style w:type="character" w:customStyle="1" w:styleId="24">
    <w:name w:val="标题 6 字符"/>
    <w:basedOn w:val="16"/>
    <w:link w:val="7"/>
    <w:autoRedefine/>
    <w:qFormat/>
    <w:uiPriority w:val="0"/>
    <w:rPr>
      <w:color w:val="000000"/>
      <w:sz w:val="24"/>
      <w:szCs w:val="24"/>
    </w:rPr>
  </w:style>
  <w:style w:type="character" w:customStyle="1" w:styleId="25">
    <w:name w:val="标题 7 字符"/>
    <w:basedOn w:val="16"/>
    <w:link w:val="8"/>
    <w:autoRedefine/>
    <w:qFormat/>
    <w:uiPriority w:val="0"/>
    <w:rPr>
      <w:color w:val="000000"/>
      <w:sz w:val="24"/>
      <w:szCs w:val="24"/>
    </w:rPr>
  </w:style>
  <w:style w:type="character" w:customStyle="1" w:styleId="26">
    <w:name w:val="标题 8 字符"/>
    <w:basedOn w:val="16"/>
    <w:link w:val="9"/>
    <w:autoRedefine/>
    <w:qFormat/>
    <w:uiPriority w:val="0"/>
    <w:rPr>
      <w:color w:val="000000"/>
      <w:sz w:val="24"/>
      <w:szCs w:val="24"/>
    </w:rPr>
  </w:style>
  <w:style w:type="character" w:customStyle="1" w:styleId="27">
    <w:name w:val="标题 9 字符"/>
    <w:basedOn w:val="16"/>
    <w:link w:val="10"/>
    <w:autoRedefine/>
    <w:qFormat/>
    <w:uiPriority w:val="0"/>
    <w:rPr>
      <w:color w:val="000000"/>
      <w:sz w:val="24"/>
      <w:szCs w:val="24"/>
    </w:rPr>
  </w:style>
  <w:style w:type="paragraph" w:styleId="28">
    <w:name w:val="List Paragraph"/>
    <w:basedOn w:val="1"/>
    <w:autoRedefine/>
    <w:qFormat/>
    <w:uiPriority w:val="34"/>
    <w:pPr>
      <w:widowControl/>
      <w:ind w:firstLine="420" w:firstLineChars="200"/>
      <w:jc w:val="left"/>
    </w:pPr>
    <w:rPr>
      <w:rFonts w:ascii="宋体" w:hAnsi="宋体" w:cs="宋体"/>
      <w:color w:val="auto"/>
      <w:sz w:val="24"/>
    </w:rPr>
  </w:style>
  <w:style w:type="character" w:customStyle="1" w:styleId="29">
    <w:name w:val="页眉 字符"/>
    <w:basedOn w:val="16"/>
    <w:link w:val="12"/>
    <w:autoRedefine/>
    <w:qFormat/>
    <w:uiPriority w:val="99"/>
    <w:rPr>
      <w:color w:val="000000"/>
      <w:sz w:val="18"/>
      <w:szCs w:val="18"/>
    </w:rPr>
  </w:style>
  <w:style w:type="character" w:customStyle="1" w:styleId="30">
    <w:name w:val="页脚 字符"/>
    <w:basedOn w:val="16"/>
    <w:link w:val="11"/>
    <w:autoRedefine/>
    <w:qFormat/>
    <w:uiPriority w:val="99"/>
    <w:rPr>
      <w:color w:val="000000"/>
      <w:sz w:val="18"/>
      <w:szCs w:val="18"/>
    </w:rPr>
  </w:style>
  <w:style w:type="character" w:customStyle="1" w:styleId="31">
    <w:name w:val="apple-converted-space"/>
    <w:basedOn w:val="16"/>
    <w:autoRedefine/>
    <w:qFormat/>
    <w:uiPriority w:val="0"/>
  </w:style>
  <w:style w:type="character" w:customStyle="1" w:styleId="32">
    <w:name w:val="未处理的提及1"/>
    <w:basedOn w:val="16"/>
    <w:autoRedefine/>
    <w:semiHidden/>
    <w:unhideWhenUsed/>
    <w:qFormat/>
    <w:uiPriority w:val="99"/>
    <w:rPr>
      <w:color w:val="605E5C"/>
      <w:shd w:val="clear" w:color="auto" w:fill="E1DFDD"/>
    </w:rPr>
  </w:style>
  <w:style w:type="character" w:customStyle="1" w:styleId="33">
    <w:name w:val="未处理的提及2"/>
    <w:basedOn w:val="16"/>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4D6D5-607C-4B24-BCB3-6B6EE607F8DD}">
  <ds:schemaRefs/>
</ds:datastoreItem>
</file>

<file path=docProps/app.xml><?xml version="1.0" encoding="utf-8"?>
<Properties xmlns="http://schemas.openxmlformats.org/officeDocument/2006/extended-properties" xmlns:vt="http://schemas.openxmlformats.org/officeDocument/2006/docPropsVTypes">
  <Template>Normal</Template>
  <Pages>1</Pages>
  <Words>353</Words>
  <Characters>2016</Characters>
  <Lines>16</Lines>
  <Paragraphs>4</Paragraphs>
  <TotalTime>4</TotalTime>
  <ScaleCrop>false</ScaleCrop>
  <LinksUpToDate>false</LinksUpToDate>
  <CharactersWithSpaces>2365</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2024-03-15T08:39:00Z</dcterms:created>
  <dc:creator>Windows 用户</dc:creator>
  <cp:lastModifiedBy>曾老师</cp:lastModifiedBy>
  <dcterms:modified xsi:type="dcterms:W3CDTF">2024-04-01T09:02:11Z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6CC9C1FC2F864980AE5567DC67FC5E91_13</vt:lpwstr>
  </property>
</Properties>
</file>